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EB77E" w14:textId="75E5EA22" w:rsidR="00515D8C" w:rsidRPr="00A463F7" w:rsidRDefault="00A463F7" w:rsidP="00A463F7">
      <w:pPr>
        <w:spacing w:after="0" w:line="240" w:lineRule="auto"/>
        <w:rPr>
          <w:rFonts w:ascii="Times New Roman" w:hAnsi="Times New Roman" w:cs="Times New Roman"/>
          <w:b/>
          <w:bCs/>
          <w:sz w:val="24"/>
          <w:szCs w:val="24"/>
        </w:rPr>
      </w:pPr>
      <w:r w:rsidRPr="00A463F7">
        <w:rPr>
          <w:rFonts w:ascii="Times New Roman" w:hAnsi="Times New Roman" w:cs="Times New Roman"/>
          <w:b/>
          <w:bCs/>
          <w:sz w:val="24"/>
          <w:szCs w:val="24"/>
        </w:rPr>
        <w:t>T.C. TİCARET BAKANLIĞI</w:t>
      </w:r>
    </w:p>
    <w:p w14:paraId="10540C3F" w14:textId="5C09EE36" w:rsidR="00A463F7" w:rsidRPr="00A463F7" w:rsidRDefault="00A463F7" w:rsidP="00A463F7">
      <w:pPr>
        <w:spacing w:after="0" w:line="240" w:lineRule="auto"/>
        <w:rPr>
          <w:rFonts w:ascii="Times New Roman" w:hAnsi="Times New Roman" w:cs="Times New Roman"/>
          <w:b/>
          <w:bCs/>
          <w:sz w:val="24"/>
          <w:szCs w:val="24"/>
        </w:rPr>
      </w:pPr>
      <w:r w:rsidRPr="00A463F7">
        <w:rPr>
          <w:rFonts w:ascii="Times New Roman" w:hAnsi="Times New Roman" w:cs="Times New Roman"/>
          <w:b/>
          <w:bCs/>
          <w:sz w:val="24"/>
          <w:szCs w:val="24"/>
        </w:rPr>
        <w:t>Uluslararası Anlaşmalar ve AB Genel Müdürlüğü</w:t>
      </w:r>
    </w:p>
    <w:p w14:paraId="040464D6" w14:textId="07C5A903" w:rsidR="00A463F7" w:rsidRDefault="00A463F7" w:rsidP="00A463F7">
      <w:pPr>
        <w:spacing w:after="0" w:line="240" w:lineRule="auto"/>
        <w:rPr>
          <w:rFonts w:ascii="Times New Roman" w:hAnsi="Times New Roman" w:cs="Times New Roman"/>
          <w:b/>
          <w:bCs/>
          <w:sz w:val="24"/>
          <w:szCs w:val="24"/>
        </w:rPr>
      </w:pPr>
      <w:r w:rsidRPr="00A463F7">
        <w:rPr>
          <w:rFonts w:ascii="Times New Roman" w:hAnsi="Times New Roman" w:cs="Times New Roman"/>
          <w:b/>
          <w:bCs/>
          <w:sz w:val="24"/>
          <w:szCs w:val="24"/>
        </w:rPr>
        <w:t>AB Tek Pazar ve Yeşil Mutabakat Dairesi</w:t>
      </w:r>
    </w:p>
    <w:p w14:paraId="44F17B88" w14:textId="7F1CE705" w:rsidR="00A463F7" w:rsidRDefault="00A463F7" w:rsidP="00A463F7">
      <w:pPr>
        <w:spacing w:after="0" w:line="240" w:lineRule="auto"/>
        <w:rPr>
          <w:rFonts w:ascii="Times New Roman" w:hAnsi="Times New Roman" w:cs="Times New Roman"/>
          <w:b/>
          <w:bCs/>
          <w:sz w:val="24"/>
          <w:szCs w:val="24"/>
        </w:rPr>
      </w:pPr>
    </w:p>
    <w:p w14:paraId="0CF85FB5" w14:textId="77777777" w:rsidR="0039508F" w:rsidRDefault="0039508F" w:rsidP="00A463F7">
      <w:pPr>
        <w:spacing w:after="0" w:line="240" w:lineRule="auto"/>
        <w:jc w:val="center"/>
        <w:rPr>
          <w:rFonts w:ascii="Times New Roman" w:hAnsi="Times New Roman" w:cs="Times New Roman"/>
          <w:b/>
          <w:bCs/>
          <w:sz w:val="24"/>
          <w:szCs w:val="24"/>
        </w:rPr>
      </w:pPr>
    </w:p>
    <w:p w14:paraId="12D7AA1F" w14:textId="5BDC234C" w:rsidR="00A463F7" w:rsidRDefault="0039508F" w:rsidP="00A463F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AB </w:t>
      </w:r>
      <w:r w:rsidR="00A463F7">
        <w:rPr>
          <w:rFonts w:ascii="Times New Roman" w:hAnsi="Times New Roman" w:cs="Times New Roman"/>
          <w:b/>
          <w:bCs/>
          <w:sz w:val="24"/>
          <w:szCs w:val="24"/>
        </w:rPr>
        <w:t>REKABETÇİLİK KONSEYİ TOPLANTISI</w:t>
      </w:r>
      <w:r>
        <w:rPr>
          <w:rFonts w:ascii="Times New Roman" w:hAnsi="Times New Roman" w:cs="Times New Roman"/>
          <w:b/>
          <w:bCs/>
          <w:sz w:val="24"/>
          <w:szCs w:val="24"/>
        </w:rPr>
        <w:t xml:space="preserve"> BİLGİ NOTU</w:t>
      </w:r>
    </w:p>
    <w:p w14:paraId="739274B0" w14:textId="77777777" w:rsidR="0039508F" w:rsidRPr="0039508F" w:rsidRDefault="0039508F" w:rsidP="0039508F">
      <w:pPr>
        <w:autoSpaceDE w:val="0"/>
        <w:autoSpaceDN w:val="0"/>
        <w:adjustRightInd w:val="0"/>
        <w:spacing w:after="0" w:line="240" w:lineRule="auto"/>
        <w:rPr>
          <w:rFonts w:ascii="Verdana" w:hAnsi="Verdana" w:cs="Times New Roman"/>
          <w:b/>
          <w:sz w:val="24"/>
          <w:szCs w:val="24"/>
        </w:rPr>
      </w:pPr>
    </w:p>
    <w:p w14:paraId="549389E9" w14:textId="65DA8497" w:rsidR="0039508F" w:rsidRPr="0039508F" w:rsidRDefault="0039508F" w:rsidP="0039508F">
      <w:pPr>
        <w:autoSpaceDE w:val="0"/>
        <w:autoSpaceDN w:val="0"/>
        <w:adjustRightInd w:val="0"/>
        <w:spacing w:line="240" w:lineRule="auto"/>
        <w:ind w:firstLine="720"/>
        <w:jc w:val="both"/>
        <w:rPr>
          <w:rFonts w:ascii="Times New Roman" w:hAnsi="Times New Roman" w:cs="Times New Roman"/>
          <w:sz w:val="24"/>
          <w:szCs w:val="24"/>
        </w:rPr>
      </w:pPr>
      <w:r w:rsidRPr="0039508F">
        <w:rPr>
          <w:rFonts w:ascii="Times New Roman" w:hAnsi="Times New Roman" w:cs="Times New Roman"/>
          <w:sz w:val="24"/>
          <w:szCs w:val="24"/>
        </w:rPr>
        <w:t>Malumları olduğu üzere, AB Rekabetçilik Konseyi’nin “İç Pazar ve Sanayi” konulu toplantısı 28 Mayıs 2026 tarihinde gerçekleştirilmiş olup, toplantıda öncelikli olarak</w:t>
      </w:r>
      <w:r w:rsidRPr="0039508F">
        <w:rPr>
          <w:rFonts w:ascii="Times New Roman" w:hAnsi="Times New Roman" w:cs="Times New Roman"/>
          <w:b/>
          <w:sz w:val="24"/>
          <w:szCs w:val="24"/>
        </w:rPr>
        <w:t xml:space="preserve"> Sanayi Hızlandırma Yasası</w:t>
      </w:r>
      <w:r w:rsidRPr="0039508F">
        <w:rPr>
          <w:rFonts w:ascii="Times New Roman" w:hAnsi="Times New Roman" w:cs="Times New Roman"/>
          <w:sz w:val="24"/>
          <w:szCs w:val="24"/>
        </w:rPr>
        <w:t xml:space="preserve"> kapsamında Tek Pazar’a erişimin “Avrupa tercihi” ve düşük karbon kriterleri üzerinden nasıl daha etkin değerlendirilebileceği hususu tartışılmıştır. Ayrıca toplantıda, 28. Rejim (EU </w:t>
      </w:r>
      <w:proofErr w:type="spellStart"/>
      <w:r w:rsidRPr="0039508F">
        <w:rPr>
          <w:rFonts w:ascii="Times New Roman" w:hAnsi="Times New Roman" w:cs="Times New Roman"/>
          <w:sz w:val="24"/>
          <w:szCs w:val="24"/>
        </w:rPr>
        <w:t>Inc</w:t>
      </w:r>
      <w:proofErr w:type="spellEnd"/>
      <w:r w:rsidRPr="0039508F">
        <w:rPr>
          <w:rFonts w:ascii="Times New Roman" w:hAnsi="Times New Roman" w:cs="Times New Roman"/>
          <w:sz w:val="24"/>
          <w:szCs w:val="24"/>
        </w:rPr>
        <w:t xml:space="preserve">.), Orta Doğu krizinin turizm üzerindeki etkisi ve kimya sanayisinin karşı karşıya bulunduğu zorluklar </w:t>
      </w:r>
      <w:r w:rsidR="00810099">
        <w:rPr>
          <w:rFonts w:ascii="Times New Roman" w:hAnsi="Times New Roman" w:cs="Times New Roman"/>
          <w:sz w:val="24"/>
          <w:szCs w:val="24"/>
        </w:rPr>
        <w:t>değerlendirilmiştir.</w:t>
      </w:r>
      <w:r w:rsidRPr="0039508F">
        <w:rPr>
          <w:rFonts w:ascii="Times New Roman" w:hAnsi="Times New Roman" w:cs="Times New Roman"/>
          <w:sz w:val="24"/>
          <w:szCs w:val="24"/>
        </w:rPr>
        <w:t xml:space="preserve"> </w:t>
      </w:r>
    </w:p>
    <w:p w14:paraId="3B1E80CB" w14:textId="37C96450" w:rsidR="0039508F" w:rsidRPr="0039508F" w:rsidRDefault="0039508F" w:rsidP="0039508F">
      <w:pPr>
        <w:autoSpaceDE w:val="0"/>
        <w:autoSpaceDN w:val="0"/>
        <w:adjustRightInd w:val="0"/>
        <w:spacing w:after="2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Toplantı gündemi kapsamında ele alınan </w:t>
      </w:r>
      <w:r w:rsidRPr="0039508F">
        <w:rPr>
          <w:rFonts w:ascii="Times New Roman" w:hAnsi="Times New Roman" w:cs="Times New Roman"/>
          <w:sz w:val="24"/>
          <w:szCs w:val="24"/>
        </w:rPr>
        <w:t>temel hususlar aşağıda özetlenmiştir:</w:t>
      </w:r>
    </w:p>
    <w:p w14:paraId="1C3FBAB9" w14:textId="77777777" w:rsidR="0039508F" w:rsidRPr="0039508F" w:rsidRDefault="0039508F" w:rsidP="0039508F">
      <w:pPr>
        <w:autoSpaceDE w:val="0"/>
        <w:autoSpaceDN w:val="0"/>
        <w:adjustRightInd w:val="0"/>
        <w:spacing w:after="220" w:line="240" w:lineRule="auto"/>
        <w:ind w:firstLine="720"/>
        <w:jc w:val="both"/>
        <w:rPr>
          <w:rFonts w:ascii="Times New Roman" w:hAnsi="Times New Roman" w:cs="Times New Roman"/>
          <w:sz w:val="24"/>
          <w:szCs w:val="24"/>
        </w:rPr>
      </w:pPr>
      <w:r w:rsidRPr="0039508F">
        <w:rPr>
          <w:rFonts w:ascii="Times New Roman" w:hAnsi="Times New Roman" w:cs="Times New Roman"/>
          <w:sz w:val="24"/>
          <w:szCs w:val="24"/>
        </w:rPr>
        <w:t xml:space="preserve">- Konsey toplantısının açılışında </w:t>
      </w:r>
      <w:r w:rsidRPr="0039508F">
        <w:rPr>
          <w:rFonts w:ascii="Times New Roman" w:hAnsi="Times New Roman" w:cs="Times New Roman"/>
          <w:b/>
          <w:sz w:val="24"/>
          <w:szCs w:val="24"/>
        </w:rPr>
        <w:t xml:space="preserve">GKRY Dönem Başkanlığı </w:t>
      </w:r>
      <w:r w:rsidRPr="0039508F">
        <w:rPr>
          <w:rFonts w:ascii="Times New Roman" w:hAnsi="Times New Roman" w:cs="Times New Roman"/>
          <w:sz w:val="24"/>
          <w:szCs w:val="24"/>
        </w:rPr>
        <w:t>adına yapılan konuşmada, Taslağın merkezinde “Birlik menşei” ve “düşük karbon” kriterlerinin yer aldığı belirtilmiş; özellikle kamu alımları ve kamu finansmanı yoluyla AB mallarına talep yaratılabileceği; ancak önerinin orantılı, hedefli ve dengeli olması gerektiği belirtilerek, rekabeti azaltmaması gerektiğine değinilmiştir. Ayrıca, AB işletmelerine somut destek sağlanması ile açık piyasa ekonomisinin işleyişi arasında doğru dengenin kurulmasının kritik önemde olduğu; stratejik ve düşük karbonlu ürünlerin üretiminin artırılmasının hedeflendiği; bunun yanı sıra, ABD, Kanada, Brezilya ve Avustralya’daki benzer uygulamalara atıfta bulunularak, “yerli içerik” kriterlerinin küresel ölçekte emsalsiz olmadığı belirtilmiştir.</w:t>
      </w:r>
    </w:p>
    <w:p w14:paraId="5BB584E3" w14:textId="77777777" w:rsidR="0039508F" w:rsidRDefault="0039508F" w:rsidP="0039508F">
      <w:pPr>
        <w:spacing w:after="0" w:line="240" w:lineRule="auto"/>
        <w:jc w:val="both"/>
        <w:rPr>
          <w:rFonts w:ascii="Times New Roman" w:hAnsi="Times New Roman" w:cs="Times New Roman"/>
          <w:sz w:val="24"/>
          <w:szCs w:val="24"/>
        </w:rPr>
      </w:pPr>
      <w:r w:rsidRPr="008F13BD">
        <w:rPr>
          <w:rFonts w:ascii="Times New Roman" w:hAnsi="Times New Roman" w:cs="Times New Roman"/>
          <w:b/>
          <w:bCs/>
          <w:sz w:val="24"/>
          <w:szCs w:val="24"/>
        </w:rPr>
        <w:t xml:space="preserve">Avrupa Komisyonu Refah ve Sanayiden Sorumlu Başkan Yardımcısı </w:t>
      </w:r>
      <w:proofErr w:type="spellStart"/>
      <w:r w:rsidRPr="008F13BD">
        <w:rPr>
          <w:rFonts w:ascii="Times New Roman" w:hAnsi="Times New Roman" w:cs="Times New Roman"/>
          <w:b/>
          <w:bCs/>
          <w:sz w:val="24"/>
          <w:szCs w:val="24"/>
        </w:rPr>
        <w:t>Stéphane</w:t>
      </w:r>
      <w:proofErr w:type="spellEnd"/>
      <w:r w:rsidRPr="008F13BD">
        <w:rPr>
          <w:rFonts w:ascii="Times New Roman" w:hAnsi="Times New Roman" w:cs="Times New Roman"/>
          <w:b/>
          <w:bCs/>
          <w:sz w:val="24"/>
          <w:szCs w:val="24"/>
        </w:rPr>
        <w:t xml:space="preserve"> </w:t>
      </w:r>
      <w:proofErr w:type="spellStart"/>
      <w:r w:rsidRPr="008F13BD">
        <w:rPr>
          <w:rFonts w:ascii="Times New Roman" w:hAnsi="Times New Roman" w:cs="Times New Roman"/>
          <w:b/>
          <w:bCs/>
          <w:sz w:val="24"/>
          <w:szCs w:val="24"/>
        </w:rPr>
        <w:t>Séjourné</w:t>
      </w:r>
      <w:proofErr w:type="spellEnd"/>
      <w:r>
        <w:rPr>
          <w:rFonts w:ascii="Times New Roman" w:hAnsi="Times New Roman" w:cs="Times New Roman"/>
          <w:sz w:val="24"/>
          <w:szCs w:val="24"/>
        </w:rPr>
        <w:t xml:space="preserve"> tarafından ise;</w:t>
      </w:r>
    </w:p>
    <w:p w14:paraId="5DB7E230" w14:textId="77777777" w:rsidR="0039508F" w:rsidRDefault="0039508F" w:rsidP="0039508F">
      <w:pPr>
        <w:spacing w:after="0" w:line="240" w:lineRule="auto"/>
        <w:jc w:val="both"/>
        <w:rPr>
          <w:rFonts w:ascii="Times New Roman" w:hAnsi="Times New Roman" w:cs="Times New Roman"/>
          <w:sz w:val="24"/>
          <w:szCs w:val="24"/>
        </w:rPr>
      </w:pPr>
    </w:p>
    <w:p w14:paraId="726D3097" w14:textId="77777777" w:rsidR="0039508F" w:rsidRPr="00583FC1" w:rsidRDefault="0039508F" w:rsidP="0039508F">
      <w:pPr>
        <w:pStyle w:val="ListeParagraf"/>
        <w:numPr>
          <w:ilvl w:val="0"/>
          <w:numId w:val="1"/>
        </w:numPr>
        <w:spacing w:before="120" w:after="120" w:line="240" w:lineRule="auto"/>
        <w:ind w:left="714" w:hanging="357"/>
        <w:contextualSpacing w:val="0"/>
        <w:jc w:val="both"/>
        <w:rPr>
          <w:rFonts w:ascii="Times New Roman" w:hAnsi="Times New Roman" w:cs="Times New Roman"/>
          <w:sz w:val="24"/>
          <w:szCs w:val="24"/>
        </w:rPr>
      </w:pPr>
      <w:r w:rsidRPr="00583FC1">
        <w:rPr>
          <w:rFonts w:ascii="Times New Roman" w:hAnsi="Times New Roman" w:cs="Times New Roman"/>
          <w:sz w:val="24"/>
          <w:szCs w:val="24"/>
        </w:rPr>
        <w:t>Avrupa’nın</w:t>
      </w:r>
      <w:r>
        <w:rPr>
          <w:rFonts w:ascii="Times New Roman" w:hAnsi="Times New Roman" w:cs="Times New Roman"/>
          <w:sz w:val="24"/>
          <w:szCs w:val="24"/>
        </w:rPr>
        <w:t xml:space="preserve"> </w:t>
      </w:r>
      <w:r w:rsidRPr="00583FC1">
        <w:rPr>
          <w:rFonts w:ascii="Times New Roman" w:hAnsi="Times New Roman" w:cs="Times New Roman"/>
          <w:sz w:val="24"/>
          <w:szCs w:val="24"/>
        </w:rPr>
        <w:t>stratejik sektörlerde dışa bağımlılığının ekonomik güvenlik açısından önemli riskler</w:t>
      </w:r>
      <w:r>
        <w:rPr>
          <w:rFonts w:ascii="Times New Roman" w:hAnsi="Times New Roman" w:cs="Times New Roman"/>
          <w:sz w:val="24"/>
          <w:szCs w:val="24"/>
        </w:rPr>
        <w:t xml:space="preserve"> </w:t>
      </w:r>
      <w:r w:rsidRPr="00583FC1">
        <w:rPr>
          <w:rFonts w:ascii="Times New Roman" w:hAnsi="Times New Roman" w:cs="Times New Roman"/>
          <w:sz w:val="24"/>
          <w:szCs w:val="24"/>
        </w:rPr>
        <w:t>doğurduğ</w:t>
      </w:r>
      <w:r>
        <w:rPr>
          <w:rFonts w:ascii="Times New Roman" w:hAnsi="Times New Roman" w:cs="Times New Roman"/>
          <w:sz w:val="24"/>
          <w:szCs w:val="24"/>
        </w:rPr>
        <w:t xml:space="preserve">u, </w:t>
      </w:r>
      <w:r w:rsidRPr="00583FC1">
        <w:rPr>
          <w:rFonts w:ascii="Times New Roman" w:hAnsi="Times New Roman" w:cs="Times New Roman"/>
          <w:sz w:val="24"/>
          <w:szCs w:val="24"/>
        </w:rPr>
        <w:t>Taslağın Çin başta olmak üzere adil olmayan rekabet koşullarına karşı AB sanayisini korumak üzere tasarlan</w:t>
      </w:r>
      <w:r>
        <w:rPr>
          <w:rFonts w:ascii="Times New Roman" w:hAnsi="Times New Roman" w:cs="Times New Roman"/>
          <w:sz w:val="24"/>
          <w:szCs w:val="24"/>
        </w:rPr>
        <w:t>dığı,</w:t>
      </w:r>
    </w:p>
    <w:p w14:paraId="61EDF2EF" w14:textId="77777777" w:rsidR="0039508F" w:rsidRPr="00011B31" w:rsidRDefault="0039508F" w:rsidP="0039508F">
      <w:pPr>
        <w:pStyle w:val="ListeParagraf"/>
        <w:numPr>
          <w:ilvl w:val="0"/>
          <w:numId w:val="1"/>
        </w:numPr>
        <w:spacing w:before="120"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Çin’in küresel ölçekte çelik ve bataryanın %50’sini, güneş enerjisi teknolojilerinin %90’ını ürettiği, </w:t>
      </w:r>
      <w:r w:rsidRPr="00011B31">
        <w:rPr>
          <w:rFonts w:ascii="Times New Roman" w:hAnsi="Times New Roman" w:cs="Times New Roman"/>
          <w:sz w:val="24"/>
          <w:szCs w:val="24"/>
        </w:rPr>
        <w:t xml:space="preserve">küresel üretimdeki payının 2000 yılındaki </w:t>
      </w:r>
      <w:proofErr w:type="gramStart"/>
      <w:r w:rsidRPr="00011B31">
        <w:rPr>
          <w:rFonts w:ascii="Times New Roman" w:hAnsi="Times New Roman" w:cs="Times New Roman"/>
          <w:sz w:val="24"/>
          <w:szCs w:val="24"/>
        </w:rPr>
        <w:t>% 6</w:t>
      </w:r>
      <w:proofErr w:type="gramEnd"/>
      <w:r w:rsidRPr="00011B31">
        <w:rPr>
          <w:rFonts w:ascii="Times New Roman" w:hAnsi="Times New Roman" w:cs="Times New Roman"/>
          <w:sz w:val="24"/>
          <w:szCs w:val="24"/>
        </w:rPr>
        <w:t xml:space="preserve"> seviyesinden bugün %30’a çıktığı, AB’nin </w:t>
      </w:r>
      <w:r>
        <w:rPr>
          <w:rFonts w:ascii="Times New Roman" w:hAnsi="Times New Roman" w:cs="Times New Roman"/>
          <w:sz w:val="24"/>
          <w:szCs w:val="24"/>
        </w:rPr>
        <w:t xml:space="preserve">payının </w:t>
      </w:r>
      <w:r w:rsidRPr="00011B31">
        <w:rPr>
          <w:rFonts w:ascii="Times New Roman" w:hAnsi="Times New Roman" w:cs="Times New Roman"/>
          <w:sz w:val="24"/>
          <w:szCs w:val="24"/>
        </w:rPr>
        <w:t>ise aynı dönemde %21’den %14’e gerilediği</w:t>
      </w:r>
      <w:r>
        <w:rPr>
          <w:rFonts w:ascii="Times New Roman" w:hAnsi="Times New Roman" w:cs="Times New Roman"/>
          <w:sz w:val="24"/>
          <w:szCs w:val="24"/>
        </w:rPr>
        <w:t>,</w:t>
      </w:r>
      <w:r w:rsidRPr="00011B31">
        <w:rPr>
          <w:rFonts w:ascii="Times New Roman" w:hAnsi="Times New Roman" w:cs="Times New Roman"/>
          <w:sz w:val="24"/>
          <w:szCs w:val="24"/>
        </w:rPr>
        <w:t xml:space="preserve"> bu çerçevede AB sanayi kapasitesinin yeniden inşası için kararlı adımlar atılması gerektiği; </w:t>
      </w:r>
    </w:p>
    <w:p w14:paraId="008DB230" w14:textId="77777777" w:rsidR="0039508F" w:rsidRDefault="0039508F" w:rsidP="0039508F">
      <w:pPr>
        <w:pStyle w:val="ListeParagraf"/>
        <w:numPr>
          <w:ilvl w:val="0"/>
          <w:numId w:val="1"/>
        </w:numPr>
        <w:spacing w:before="120"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Taslak kapsamındaki “Birlik menşei” kriterinin korumacı bir ticaret politikası olmaktan ziyade </w:t>
      </w:r>
      <w:r w:rsidRPr="00A463F7">
        <w:rPr>
          <w:rFonts w:ascii="Times New Roman" w:hAnsi="Times New Roman" w:cs="Times New Roman"/>
          <w:b/>
          <w:bCs/>
          <w:sz w:val="24"/>
          <w:szCs w:val="24"/>
        </w:rPr>
        <w:t>stratejik karşılıklılığı</w:t>
      </w:r>
      <w:r>
        <w:rPr>
          <w:rFonts w:ascii="Times New Roman" w:hAnsi="Times New Roman" w:cs="Times New Roman"/>
          <w:sz w:val="24"/>
          <w:szCs w:val="24"/>
        </w:rPr>
        <w:t xml:space="preserve"> esas alacağı, </w:t>
      </w:r>
    </w:p>
    <w:p w14:paraId="56F99C79" w14:textId="77777777" w:rsidR="0039508F" w:rsidRPr="00011B31" w:rsidRDefault="0039508F" w:rsidP="0039508F">
      <w:pPr>
        <w:pStyle w:val="ListeParagraf"/>
        <w:numPr>
          <w:ilvl w:val="0"/>
          <w:numId w:val="1"/>
        </w:numPr>
        <w:spacing w:before="120"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AB’nin diğer ülkelere göre pazarının daha açık olduğu, bunun dengelenmesi ve karşılıklılık esasına dayanmasının temel kriter olacağı, </w:t>
      </w:r>
    </w:p>
    <w:p w14:paraId="40F4C146" w14:textId="77777777" w:rsidR="0039508F" w:rsidRDefault="0039508F" w:rsidP="0039508F">
      <w:pPr>
        <w:pStyle w:val="ListeParagraf"/>
        <w:numPr>
          <w:ilvl w:val="0"/>
          <w:numId w:val="1"/>
        </w:numPr>
        <w:spacing w:before="120"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Bu çerçevede, AB’nin </w:t>
      </w:r>
      <w:r w:rsidRPr="003F7F45">
        <w:rPr>
          <w:rFonts w:ascii="Times New Roman" w:hAnsi="Times New Roman" w:cs="Times New Roman"/>
          <w:sz w:val="24"/>
          <w:szCs w:val="24"/>
        </w:rPr>
        <w:t xml:space="preserve">mevcut </w:t>
      </w:r>
      <w:proofErr w:type="spellStart"/>
      <w:r w:rsidRPr="003F7F45">
        <w:rPr>
          <w:rFonts w:ascii="Times New Roman" w:hAnsi="Times New Roman" w:cs="Times New Roman"/>
          <w:sz w:val="24"/>
          <w:szCs w:val="24"/>
        </w:rPr>
        <w:t>STA’ların</w:t>
      </w:r>
      <w:r>
        <w:rPr>
          <w:rFonts w:ascii="Times New Roman" w:hAnsi="Times New Roman" w:cs="Times New Roman"/>
          <w:sz w:val="24"/>
          <w:szCs w:val="24"/>
        </w:rPr>
        <w:t>ın</w:t>
      </w:r>
      <w:proofErr w:type="spellEnd"/>
      <w:r>
        <w:rPr>
          <w:rFonts w:ascii="Times New Roman" w:hAnsi="Times New Roman" w:cs="Times New Roman"/>
          <w:sz w:val="24"/>
          <w:szCs w:val="24"/>
        </w:rPr>
        <w:t xml:space="preserve"> </w:t>
      </w:r>
      <w:r w:rsidRPr="003F7F45">
        <w:rPr>
          <w:rFonts w:ascii="Times New Roman" w:hAnsi="Times New Roman" w:cs="Times New Roman"/>
          <w:sz w:val="24"/>
          <w:szCs w:val="24"/>
        </w:rPr>
        <w:t xml:space="preserve">yaklaşık </w:t>
      </w:r>
      <w:r>
        <w:rPr>
          <w:rFonts w:ascii="Times New Roman" w:hAnsi="Times New Roman" w:cs="Times New Roman"/>
          <w:sz w:val="24"/>
          <w:szCs w:val="24"/>
        </w:rPr>
        <w:t>40 tanesinde</w:t>
      </w:r>
      <w:r w:rsidRPr="003F7F45">
        <w:rPr>
          <w:rFonts w:ascii="Times New Roman" w:hAnsi="Times New Roman" w:cs="Times New Roman"/>
          <w:sz w:val="24"/>
          <w:szCs w:val="24"/>
        </w:rPr>
        <w:t xml:space="preserve"> kamu alımlarına ilişkin hükümler bulunduğu, ancak bunların da yalnızca yaklaşık 20’sinde Avrupa bakımından</w:t>
      </w:r>
      <w:r>
        <w:rPr>
          <w:rFonts w:ascii="Times New Roman" w:hAnsi="Times New Roman" w:cs="Times New Roman"/>
          <w:sz w:val="24"/>
          <w:szCs w:val="24"/>
        </w:rPr>
        <w:t xml:space="preserve"> </w:t>
      </w:r>
      <w:r w:rsidRPr="003F7F45">
        <w:rPr>
          <w:rFonts w:ascii="Times New Roman" w:hAnsi="Times New Roman" w:cs="Times New Roman"/>
          <w:sz w:val="24"/>
          <w:szCs w:val="24"/>
        </w:rPr>
        <w:t>gerçek anlamda kamu alımları mütekabiliyeti bulunduğu</w:t>
      </w:r>
      <w:r>
        <w:rPr>
          <w:rFonts w:ascii="Times New Roman" w:hAnsi="Times New Roman" w:cs="Times New Roman"/>
          <w:sz w:val="24"/>
          <w:szCs w:val="24"/>
        </w:rPr>
        <w:t>,</w:t>
      </w:r>
      <w:r w:rsidRPr="003F7F45">
        <w:rPr>
          <w:rFonts w:ascii="Times New Roman" w:hAnsi="Times New Roman" w:cs="Times New Roman"/>
          <w:sz w:val="24"/>
          <w:szCs w:val="24"/>
        </w:rPr>
        <w:t xml:space="preserve"> AB’nin her durumda</w:t>
      </w:r>
      <w:r>
        <w:rPr>
          <w:rFonts w:ascii="Times New Roman" w:hAnsi="Times New Roman" w:cs="Times New Roman"/>
          <w:sz w:val="24"/>
          <w:szCs w:val="24"/>
        </w:rPr>
        <w:t xml:space="preserve"> </w:t>
      </w:r>
      <w:r w:rsidRPr="003F7F45">
        <w:rPr>
          <w:rFonts w:ascii="Times New Roman" w:hAnsi="Times New Roman" w:cs="Times New Roman"/>
          <w:sz w:val="24"/>
          <w:szCs w:val="24"/>
        </w:rPr>
        <w:t>ticaret ortaklarına kıyasla daha açık bir kamu alımları piyasasına sahip olduğu</w:t>
      </w:r>
      <w:r>
        <w:rPr>
          <w:rFonts w:ascii="Times New Roman" w:hAnsi="Times New Roman" w:cs="Times New Roman"/>
          <w:sz w:val="24"/>
          <w:szCs w:val="24"/>
        </w:rPr>
        <w:t>,</w:t>
      </w:r>
    </w:p>
    <w:p w14:paraId="08A76E47" w14:textId="77777777" w:rsidR="0039508F" w:rsidRDefault="0039508F" w:rsidP="0039508F">
      <w:pPr>
        <w:pStyle w:val="ListeParagraf"/>
        <w:numPr>
          <w:ilvl w:val="0"/>
          <w:numId w:val="1"/>
        </w:numPr>
        <w:spacing w:before="120"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AB’nin </w:t>
      </w:r>
      <w:r w:rsidRPr="009979D9">
        <w:rPr>
          <w:rFonts w:ascii="Times New Roman" w:hAnsi="Times New Roman" w:cs="Times New Roman"/>
          <w:b/>
          <w:bCs/>
          <w:sz w:val="24"/>
          <w:szCs w:val="24"/>
        </w:rPr>
        <w:t>Kanada</w:t>
      </w:r>
      <w:r>
        <w:rPr>
          <w:rFonts w:ascii="Times New Roman" w:hAnsi="Times New Roman" w:cs="Times New Roman"/>
          <w:sz w:val="24"/>
          <w:szCs w:val="24"/>
        </w:rPr>
        <w:t xml:space="preserve"> ile kapsamlı bir </w:t>
      </w:r>
      <w:proofErr w:type="spellStart"/>
      <w:r>
        <w:rPr>
          <w:rFonts w:ascii="Times New Roman" w:hAnsi="Times New Roman" w:cs="Times New Roman"/>
          <w:sz w:val="24"/>
          <w:szCs w:val="24"/>
        </w:rPr>
        <w:t>STA’sının</w:t>
      </w:r>
      <w:proofErr w:type="spellEnd"/>
      <w:r>
        <w:rPr>
          <w:rFonts w:ascii="Times New Roman" w:hAnsi="Times New Roman" w:cs="Times New Roman"/>
          <w:sz w:val="24"/>
          <w:szCs w:val="24"/>
        </w:rPr>
        <w:t xml:space="preserve"> bulunduğu, ancak “buy </w:t>
      </w:r>
      <w:proofErr w:type="spellStart"/>
      <w:r>
        <w:rPr>
          <w:rFonts w:ascii="Times New Roman" w:hAnsi="Times New Roman" w:cs="Times New Roman"/>
          <w:sz w:val="24"/>
          <w:szCs w:val="24"/>
        </w:rPr>
        <w:t>Canadian</w:t>
      </w:r>
      <w:proofErr w:type="spellEnd"/>
      <w:r>
        <w:rPr>
          <w:rFonts w:ascii="Times New Roman" w:hAnsi="Times New Roman" w:cs="Times New Roman"/>
          <w:sz w:val="24"/>
          <w:szCs w:val="24"/>
        </w:rPr>
        <w:t xml:space="preserve">” gibi girişimlerin AB’nin Kanada pazarına girişini kısıtladığı, bu çerçevede sadece AB’nin ikili düzenlemelerinin değil ilgili ülkedeki Pazar açılımının dikkate alınacağı, </w:t>
      </w:r>
    </w:p>
    <w:p w14:paraId="1A3E5716" w14:textId="77777777" w:rsidR="0039508F" w:rsidRDefault="0039508F" w:rsidP="0039508F">
      <w:pPr>
        <w:pStyle w:val="ListeParagraf"/>
        <w:numPr>
          <w:ilvl w:val="0"/>
          <w:numId w:val="1"/>
        </w:numPr>
        <w:spacing w:before="120"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Öte yandan </w:t>
      </w:r>
      <w:r w:rsidRPr="009979D9">
        <w:rPr>
          <w:rFonts w:ascii="Times New Roman" w:hAnsi="Times New Roman" w:cs="Times New Roman"/>
          <w:b/>
          <w:bCs/>
          <w:sz w:val="24"/>
          <w:szCs w:val="24"/>
        </w:rPr>
        <w:t xml:space="preserve">Türkiye </w:t>
      </w:r>
      <w:r>
        <w:rPr>
          <w:rFonts w:ascii="Times New Roman" w:hAnsi="Times New Roman" w:cs="Times New Roman"/>
          <w:b/>
          <w:bCs/>
          <w:sz w:val="24"/>
          <w:szCs w:val="24"/>
        </w:rPr>
        <w:t>dahil bazı üçüncü</w:t>
      </w:r>
      <w:r w:rsidRPr="009979D9">
        <w:rPr>
          <w:rFonts w:ascii="Times New Roman" w:hAnsi="Times New Roman" w:cs="Times New Roman"/>
          <w:b/>
          <w:bCs/>
          <w:sz w:val="24"/>
          <w:szCs w:val="24"/>
        </w:rPr>
        <w:t xml:space="preserve"> ülkelerin Taslakta yer alan hükümler nedeniyle AB ile kamu alımları alanında müzakerelere başlamaya hazırlandığı</w:t>
      </w:r>
      <w:r>
        <w:rPr>
          <w:rFonts w:ascii="Times New Roman" w:hAnsi="Times New Roman" w:cs="Times New Roman"/>
          <w:sz w:val="24"/>
          <w:szCs w:val="24"/>
        </w:rPr>
        <w:t xml:space="preserve">, </w:t>
      </w:r>
    </w:p>
    <w:p w14:paraId="649FB0CB" w14:textId="77777777" w:rsidR="0039508F" w:rsidRDefault="0039508F" w:rsidP="0039508F">
      <w:pPr>
        <w:pStyle w:val="ListeParagraf"/>
        <w:numPr>
          <w:ilvl w:val="0"/>
          <w:numId w:val="1"/>
        </w:numPr>
        <w:spacing w:before="120"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Taslağın ilave idari ve mali yük oluşturmamasına yönelik endişeleri gidermek ve uyum yükünü azaltmak üzere </w:t>
      </w:r>
      <w:r>
        <w:rPr>
          <w:rFonts w:ascii="Times New Roman" w:hAnsi="Times New Roman" w:cs="Times New Roman"/>
          <w:b/>
          <w:bCs/>
          <w:sz w:val="24"/>
          <w:szCs w:val="24"/>
        </w:rPr>
        <w:t>kriterlerin karşılanmasın</w:t>
      </w:r>
      <w:r w:rsidRPr="009979D9">
        <w:rPr>
          <w:rFonts w:ascii="Times New Roman" w:hAnsi="Times New Roman" w:cs="Times New Roman"/>
          <w:b/>
          <w:bCs/>
          <w:sz w:val="24"/>
          <w:szCs w:val="24"/>
        </w:rPr>
        <w:t xml:space="preserve"> firmalarının beyanının</w:t>
      </w:r>
      <w:r>
        <w:rPr>
          <w:rFonts w:ascii="Times New Roman" w:hAnsi="Times New Roman" w:cs="Times New Roman"/>
          <w:sz w:val="24"/>
          <w:szCs w:val="24"/>
        </w:rPr>
        <w:t xml:space="preserve"> esas alınacağı, uyumun ise sonradan denetimler ile kontrol edileceği, </w:t>
      </w:r>
    </w:p>
    <w:p w14:paraId="5D4E58BA" w14:textId="77777777" w:rsidR="0039508F" w:rsidRDefault="0039508F" w:rsidP="0039508F">
      <w:pPr>
        <w:pStyle w:val="ListeParagraf"/>
        <w:numPr>
          <w:ilvl w:val="0"/>
          <w:numId w:val="1"/>
        </w:numPr>
        <w:spacing w:before="120"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Kimyasallar gibi üzerinde uzlaşıya varılan bazı sektörlerin kapsam genişlemesine daha kolay dahil edilmesinin öngörüldüğü,</w:t>
      </w:r>
    </w:p>
    <w:p w14:paraId="21AEB083" w14:textId="77777777" w:rsidR="0039508F" w:rsidRDefault="0039508F" w:rsidP="0039508F">
      <w:pPr>
        <w:pStyle w:val="ListeParagraf"/>
        <w:numPr>
          <w:ilvl w:val="0"/>
          <w:numId w:val="1"/>
        </w:numPr>
        <w:spacing w:before="120" w:after="120" w:line="240" w:lineRule="auto"/>
        <w:ind w:left="714" w:hanging="357"/>
        <w:contextualSpacing w:val="0"/>
        <w:jc w:val="both"/>
        <w:rPr>
          <w:rFonts w:ascii="Times New Roman" w:hAnsi="Times New Roman" w:cs="Times New Roman"/>
          <w:sz w:val="24"/>
          <w:szCs w:val="24"/>
        </w:rPr>
      </w:pPr>
      <w:r w:rsidRPr="00011B31">
        <w:rPr>
          <w:rFonts w:ascii="Times New Roman" w:hAnsi="Times New Roman" w:cs="Times New Roman"/>
          <w:sz w:val="24"/>
          <w:szCs w:val="24"/>
        </w:rPr>
        <w:t>Düzenleme çerçevesinde düşük karbonlu çelik, alüminyum ve çimento kullanımının maliyet</w:t>
      </w:r>
      <w:r>
        <w:rPr>
          <w:rFonts w:ascii="Times New Roman" w:hAnsi="Times New Roman" w:cs="Times New Roman"/>
          <w:sz w:val="24"/>
          <w:szCs w:val="24"/>
        </w:rPr>
        <w:t xml:space="preserve"> </w:t>
      </w:r>
      <w:r w:rsidRPr="00011B31">
        <w:rPr>
          <w:rFonts w:ascii="Times New Roman" w:hAnsi="Times New Roman" w:cs="Times New Roman"/>
          <w:sz w:val="24"/>
          <w:szCs w:val="24"/>
        </w:rPr>
        <w:t>artışının sınırlı düzeyde kalacağının hesaplandığı, buna karşılık Avrupa’nın mevcut dış</w:t>
      </w:r>
      <w:r>
        <w:rPr>
          <w:rFonts w:ascii="Times New Roman" w:hAnsi="Times New Roman" w:cs="Times New Roman"/>
          <w:sz w:val="24"/>
          <w:szCs w:val="24"/>
        </w:rPr>
        <w:t xml:space="preserve"> </w:t>
      </w:r>
      <w:r w:rsidRPr="00011B31">
        <w:rPr>
          <w:rFonts w:ascii="Times New Roman" w:hAnsi="Times New Roman" w:cs="Times New Roman"/>
          <w:sz w:val="24"/>
          <w:szCs w:val="24"/>
        </w:rPr>
        <w:t>bağımlılıklarının çok daha yüksek ekonomik maliyetler doğurduğu</w:t>
      </w:r>
      <w:r>
        <w:rPr>
          <w:rFonts w:ascii="Times New Roman" w:hAnsi="Times New Roman" w:cs="Times New Roman"/>
          <w:sz w:val="24"/>
          <w:szCs w:val="24"/>
        </w:rPr>
        <w:t>, m</w:t>
      </w:r>
      <w:r w:rsidRPr="00011B31">
        <w:rPr>
          <w:rFonts w:ascii="Times New Roman" w:hAnsi="Times New Roman" w:cs="Times New Roman"/>
          <w:sz w:val="24"/>
          <w:szCs w:val="24"/>
        </w:rPr>
        <w:t xml:space="preserve">aliyet artışlarına yönelik kaygıların </w:t>
      </w:r>
      <w:r>
        <w:rPr>
          <w:rFonts w:ascii="Times New Roman" w:hAnsi="Times New Roman" w:cs="Times New Roman"/>
          <w:sz w:val="24"/>
          <w:szCs w:val="24"/>
        </w:rPr>
        <w:t>da</w:t>
      </w:r>
      <w:r w:rsidRPr="00011B31">
        <w:rPr>
          <w:rFonts w:ascii="Times New Roman" w:hAnsi="Times New Roman" w:cs="Times New Roman"/>
          <w:sz w:val="24"/>
          <w:szCs w:val="24"/>
        </w:rPr>
        <w:t xml:space="preserve"> Taslakta tanımlanan bazı esneklikler ile giderilmesinin öngörüldüğü</w:t>
      </w:r>
      <w:r>
        <w:rPr>
          <w:rFonts w:ascii="Times New Roman" w:hAnsi="Times New Roman" w:cs="Times New Roman"/>
          <w:sz w:val="24"/>
          <w:szCs w:val="24"/>
        </w:rPr>
        <w:t>,</w:t>
      </w:r>
    </w:p>
    <w:p w14:paraId="45B65C5E" w14:textId="77777777" w:rsidR="0039508F" w:rsidRPr="00011B31" w:rsidRDefault="0039508F" w:rsidP="0039508F">
      <w:pPr>
        <w:pStyle w:val="ListeParagraf"/>
        <w:numPr>
          <w:ilvl w:val="0"/>
          <w:numId w:val="1"/>
        </w:numPr>
        <w:spacing w:before="120"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Taslağın</w:t>
      </w:r>
      <w:r w:rsidRPr="00011B31">
        <w:rPr>
          <w:rFonts w:ascii="Times New Roman" w:hAnsi="Times New Roman" w:cs="Times New Roman"/>
          <w:sz w:val="24"/>
          <w:szCs w:val="24"/>
        </w:rPr>
        <w:t xml:space="preserve"> aynı zamanda AB’nin teknolojik egemenlik</w:t>
      </w:r>
      <w:r>
        <w:rPr>
          <w:rFonts w:ascii="Times New Roman" w:hAnsi="Times New Roman" w:cs="Times New Roman"/>
          <w:sz w:val="24"/>
          <w:szCs w:val="24"/>
        </w:rPr>
        <w:t xml:space="preserve"> </w:t>
      </w:r>
      <w:r w:rsidRPr="00011B31">
        <w:rPr>
          <w:rFonts w:ascii="Times New Roman" w:hAnsi="Times New Roman" w:cs="Times New Roman"/>
          <w:sz w:val="24"/>
          <w:szCs w:val="24"/>
        </w:rPr>
        <w:t>hedefleriyle bağlantılı şekilde değerlendirilmesi gerektiği</w:t>
      </w:r>
      <w:r>
        <w:rPr>
          <w:rFonts w:ascii="Times New Roman" w:hAnsi="Times New Roman" w:cs="Times New Roman"/>
          <w:sz w:val="24"/>
          <w:szCs w:val="24"/>
        </w:rPr>
        <w:t>, b</w:t>
      </w:r>
      <w:r w:rsidRPr="00011B31">
        <w:rPr>
          <w:rFonts w:ascii="Times New Roman" w:hAnsi="Times New Roman" w:cs="Times New Roman"/>
          <w:sz w:val="24"/>
          <w:szCs w:val="24"/>
        </w:rPr>
        <w:t>u kapsamda, bulut</w:t>
      </w:r>
      <w:r>
        <w:rPr>
          <w:rFonts w:ascii="Times New Roman" w:hAnsi="Times New Roman" w:cs="Times New Roman"/>
          <w:sz w:val="24"/>
          <w:szCs w:val="24"/>
        </w:rPr>
        <w:t xml:space="preserve"> </w:t>
      </w:r>
      <w:r w:rsidRPr="00011B31">
        <w:rPr>
          <w:rFonts w:ascii="Times New Roman" w:hAnsi="Times New Roman" w:cs="Times New Roman"/>
          <w:sz w:val="24"/>
          <w:szCs w:val="24"/>
        </w:rPr>
        <w:t>teknolojileri, veri, yapay zekâ ve yarı iletkenler alanlarında Avrupa düzeyinde kapasite</w:t>
      </w:r>
      <w:r>
        <w:rPr>
          <w:rFonts w:ascii="Times New Roman" w:hAnsi="Times New Roman" w:cs="Times New Roman"/>
          <w:sz w:val="24"/>
          <w:szCs w:val="24"/>
        </w:rPr>
        <w:t xml:space="preserve"> </w:t>
      </w:r>
      <w:r w:rsidRPr="00011B31">
        <w:rPr>
          <w:rFonts w:ascii="Times New Roman" w:hAnsi="Times New Roman" w:cs="Times New Roman"/>
          <w:sz w:val="24"/>
          <w:szCs w:val="24"/>
        </w:rPr>
        <w:t>oluşturulmasının Avrupa sanayi</w:t>
      </w:r>
      <w:r>
        <w:rPr>
          <w:rFonts w:ascii="Times New Roman" w:hAnsi="Times New Roman" w:cs="Times New Roman"/>
          <w:sz w:val="24"/>
          <w:szCs w:val="24"/>
        </w:rPr>
        <w:t>si</w:t>
      </w:r>
      <w:r w:rsidRPr="00011B31">
        <w:rPr>
          <w:rFonts w:ascii="Times New Roman" w:hAnsi="Times New Roman" w:cs="Times New Roman"/>
          <w:sz w:val="24"/>
          <w:szCs w:val="24"/>
        </w:rPr>
        <w:t>nin geleceği açısından kritik önemde olduğu</w:t>
      </w:r>
      <w:r>
        <w:rPr>
          <w:rFonts w:ascii="Times New Roman" w:hAnsi="Times New Roman" w:cs="Times New Roman"/>
          <w:sz w:val="24"/>
          <w:szCs w:val="24"/>
        </w:rPr>
        <w:t xml:space="preserve"> </w:t>
      </w:r>
      <w:r w:rsidRPr="00011B31">
        <w:rPr>
          <w:rFonts w:ascii="Times New Roman" w:hAnsi="Times New Roman" w:cs="Times New Roman"/>
          <w:sz w:val="24"/>
          <w:szCs w:val="24"/>
        </w:rPr>
        <w:t>ifade edilmiştir.</w:t>
      </w:r>
    </w:p>
    <w:p w14:paraId="000266A2" w14:textId="77777777" w:rsidR="0039508F" w:rsidRDefault="0039508F" w:rsidP="0039508F">
      <w:pPr>
        <w:spacing w:after="0" w:line="240" w:lineRule="auto"/>
        <w:jc w:val="both"/>
        <w:rPr>
          <w:rFonts w:ascii="Times New Roman" w:hAnsi="Times New Roman" w:cs="Times New Roman"/>
          <w:sz w:val="24"/>
          <w:szCs w:val="24"/>
        </w:rPr>
      </w:pPr>
    </w:p>
    <w:p w14:paraId="7727F837" w14:textId="7F9EF07F" w:rsidR="0039508F" w:rsidRPr="008367DE" w:rsidRDefault="0039508F" w:rsidP="0039508F">
      <w:pPr>
        <w:spacing w:after="0" w:line="240" w:lineRule="auto"/>
        <w:ind w:firstLine="708"/>
        <w:jc w:val="both"/>
        <w:rPr>
          <w:rFonts w:ascii="Times New Roman" w:hAnsi="Times New Roman" w:cs="Times New Roman"/>
          <w:sz w:val="24"/>
          <w:szCs w:val="24"/>
        </w:rPr>
      </w:pPr>
      <w:r w:rsidRPr="008367DE">
        <w:rPr>
          <w:rFonts w:ascii="Times New Roman" w:hAnsi="Times New Roman" w:cs="Times New Roman"/>
          <w:sz w:val="24"/>
          <w:szCs w:val="24"/>
        </w:rPr>
        <w:t>Toplantının devamında üye ülkeler tarafından Taslağa ilişkin görüşler aktarılmıştır. Bu çerçevede, üye ülkelerin büyük çoğunluğunun AB’nin Çin ve ABD gibi ülkelere olan bağımlılığının azaltılması ve AB sanayisinin güçlendirilmesi amacıyla bir an önce adım atılması gerektiğini desteklediği görülmüştür. Taslak kapsamında öngörülen Birlik menşe kuralının, AB’nin uluslararası yükümlülükleri ve karşılıklılık ilkesi doğrultusunda STA ortaklarını da kapsaması gerektiği genel olarak kabul edilmekle birlikte, bu kapsamın nasıl belirleneceğine ilişkin yaklaşımların üye ülkeler arasında farklılık gösterdiği anlaşılmıştır.</w:t>
      </w:r>
      <w:r>
        <w:rPr>
          <w:rFonts w:ascii="Times New Roman" w:hAnsi="Times New Roman" w:cs="Times New Roman"/>
          <w:sz w:val="24"/>
          <w:szCs w:val="24"/>
        </w:rPr>
        <w:t xml:space="preserve"> </w:t>
      </w:r>
      <w:r w:rsidRPr="008367DE">
        <w:rPr>
          <w:rFonts w:ascii="Times New Roman" w:hAnsi="Times New Roman" w:cs="Times New Roman"/>
          <w:sz w:val="24"/>
          <w:szCs w:val="24"/>
        </w:rPr>
        <w:t>Bu çerçevede ön plana çıkan hususlar aşağıda sıralanmaktadır</w:t>
      </w:r>
      <w:r>
        <w:rPr>
          <w:rFonts w:ascii="Times New Roman" w:hAnsi="Times New Roman" w:cs="Times New Roman"/>
          <w:sz w:val="24"/>
          <w:szCs w:val="24"/>
        </w:rPr>
        <w:t>:</w:t>
      </w:r>
    </w:p>
    <w:p w14:paraId="536A4BFE" w14:textId="77777777" w:rsidR="0039508F" w:rsidRDefault="0039508F" w:rsidP="0039508F">
      <w:pPr>
        <w:spacing w:after="0" w:line="240" w:lineRule="auto"/>
        <w:jc w:val="both"/>
        <w:rPr>
          <w:rFonts w:ascii="Times New Roman" w:hAnsi="Times New Roman" w:cs="Times New Roman"/>
          <w:sz w:val="24"/>
          <w:szCs w:val="24"/>
        </w:rPr>
      </w:pPr>
    </w:p>
    <w:p w14:paraId="2FF23A33" w14:textId="77777777" w:rsidR="0039508F" w:rsidRPr="00FC6E32" w:rsidRDefault="0039508F" w:rsidP="0039508F">
      <w:pPr>
        <w:pStyle w:val="ListeParagraf"/>
        <w:numPr>
          <w:ilvl w:val="0"/>
          <w:numId w:val="1"/>
        </w:numPr>
        <w:spacing w:before="120" w:after="120" w:line="240" w:lineRule="auto"/>
        <w:contextualSpacing w:val="0"/>
        <w:jc w:val="both"/>
        <w:rPr>
          <w:rFonts w:ascii="Times New Roman" w:hAnsi="Times New Roman" w:cs="Times New Roman"/>
          <w:sz w:val="24"/>
          <w:szCs w:val="24"/>
        </w:rPr>
      </w:pPr>
      <w:r w:rsidRPr="0017284A">
        <w:rPr>
          <w:rFonts w:ascii="Times New Roman" w:hAnsi="Times New Roman" w:cs="Times New Roman"/>
          <w:b/>
          <w:bCs/>
          <w:sz w:val="24"/>
          <w:szCs w:val="24"/>
        </w:rPr>
        <w:t>Fransa</w:t>
      </w:r>
      <w:r>
        <w:rPr>
          <w:rFonts w:ascii="Times New Roman" w:hAnsi="Times New Roman" w:cs="Times New Roman"/>
          <w:sz w:val="24"/>
          <w:szCs w:val="24"/>
        </w:rPr>
        <w:t xml:space="preserve"> tarafından AB’nin </w:t>
      </w:r>
      <w:r w:rsidRPr="00FC6E32">
        <w:rPr>
          <w:rFonts w:ascii="Times New Roman" w:hAnsi="Times New Roman" w:cs="Times New Roman"/>
          <w:sz w:val="24"/>
          <w:szCs w:val="24"/>
        </w:rPr>
        <w:t xml:space="preserve">tüm </w:t>
      </w:r>
      <w:r>
        <w:rPr>
          <w:rFonts w:ascii="Times New Roman" w:hAnsi="Times New Roman" w:cs="Times New Roman"/>
          <w:sz w:val="24"/>
          <w:szCs w:val="24"/>
        </w:rPr>
        <w:t>STA</w:t>
      </w:r>
      <w:r w:rsidRPr="00FC6E32">
        <w:rPr>
          <w:rFonts w:ascii="Times New Roman" w:hAnsi="Times New Roman" w:cs="Times New Roman"/>
          <w:sz w:val="24"/>
          <w:szCs w:val="24"/>
        </w:rPr>
        <w:t xml:space="preserve"> </w:t>
      </w:r>
      <w:r>
        <w:rPr>
          <w:rFonts w:ascii="Times New Roman" w:hAnsi="Times New Roman" w:cs="Times New Roman"/>
          <w:sz w:val="24"/>
          <w:szCs w:val="24"/>
        </w:rPr>
        <w:t>ortaklarını</w:t>
      </w:r>
      <w:r w:rsidRPr="00FC6E32">
        <w:rPr>
          <w:rFonts w:ascii="Times New Roman" w:hAnsi="Times New Roman" w:cs="Times New Roman"/>
          <w:sz w:val="24"/>
          <w:szCs w:val="24"/>
        </w:rPr>
        <w:t xml:space="preserve"> Birlik menşe kapsamına dahil ederek AB sanayinin korunmasının mümkün olmayacağı, Avrupa dışında üretim yapan şirketlerin AB içerisindeki üreticilerle aynı kamu desteklerinden yararlanmaması gerektiği ifade edilmiş; bu yaklaşım </w:t>
      </w:r>
      <w:r w:rsidRPr="00FC6E32">
        <w:rPr>
          <w:rFonts w:ascii="Times New Roman" w:hAnsi="Times New Roman" w:cs="Times New Roman"/>
          <w:b/>
          <w:bCs/>
          <w:sz w:val="24"/>
          <w:szCs w:val="24"/>
        </w:rPr>
        <w:t xml:space="preserve">İtalya, Almanya, İspanya ve Yunanistan </w:t>
      </w:r>
      <w:r w:rsidRPr="00FC6E32">
        <w:rPr>
          <w:rFonts w:ascii="Times New Roman" w:hAnsi="Times New Roman" w:cs="Times New Roman"/>
          <w:sz w:val="24"/>
          <w:szCs w:val="24"/>
        </w:rPr>
        <w:t xml:space="preserve">gibi ülkeler tarafından desteklenmiş, </w:t>
      </w:r>
      <w:r w:rsidRPr="00FC6E32">
        <w:rPr>
          <w:rFonts w:ascii="Times New Roman" w:hAnsi="Times New Roman" w:cs="Times New Roman"/>
          <w:b/>
          <w:bCs/>
          <w:sz w:val="24"/>
          <w:szCs w:val="24"/>
        </w:rPr>
        <w:t>Danimarka</w:t>
      </w:r>
      <w:r w:rsidRPr="00FC6E32">
        <w:rPr>
          <w:rFonts w:ascii="Times New Roman" w:hAnsi="Times New Roman" w:cs="Times New Roman"/>
          <w:sz w:val="24"/>
          <w:szCs w:val="24"/>
        </w:rPr>
        <w:t xml:space="preserve"> tarafından ise “Birlik menşe” kuralının uluslararası yükümlülüklere uygun şekilde ve bazı sektörel önceliklere göre uygulanması gereğine dikkat çekilmiştir.</w:t>
      </w:r>
    </w:p>
    <w:p w14:paraId="7AAF71B8" w14:textId="77777777" w:rsidR="0039508F" w:rsidRDefault="0039508F" w:rsidP="0039508F">
      <w:pPr>
        <w:pStyle w:val="ListeParagraf"/>
        <w:numPr>
          <w:ilvl w:val="0"/>
          <w:numId w:val="1"/>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Hollanda </w:t>
      </w:r>
      <w:r w:rsidRPr="00FF5402">
        <w:rPr>
          <w:rFonts w:ascii="Times New Roman" w:hAnsi="Times New Roman" w:cs="Times New Roman"/>
          <w:sz w:val="24"/>
          <w:szCs w:val="24"/>
        </w:rPr>
        <w:t>tarafından</w:t>
      </w:r>
      <w:r>
        <w:rPr>
          <w:rFonts w:ascii="Times New Roman" w:hAnsi="Times New Roman" w:cs="Times New Roman"/>
          <w:b/>
          <w:bCs/>
          <w:sz w:val="24"/>
          <w:szCs w:val="24"/>
        </w:rPr>
        <w:t xml:space="preserve"> </w:t>
      </w:r>
      <w:r w:rsidRPr="00FF5402">
        <w:rPr>
          <w:rFonts w:ascii="Times New Roman" w:hAnsi="Times New Roman" w:cs="Times New Roman"/>
          <w:sz w:val="24"/>
          <w:szCs w:val="24"/>
        </w:rPr>
        <w:t xml:space="preserve">“Birlik menşe” kapsamının tüm dünyayı kapsamaması gereği anlaşılmakla birlikte, tedarik zincirinin çeşitlendirilmesinin de rekabetçilik için önemli olduğu, AB’de üretilen ürünlerin ihraç edilmesi </w:t>
      </w:r>
      <w:r>
        <w:rPr>
          <w:rFonts w:ascii="Times New Roman" w:hAnsi="Times New Roman" w:cs="Times New Roman"/>
          <w:sz w:val="24"/>
          <w:szCs w:val="24"/>
        </w:rPr>
        <w:t xml:space="preserve">ve kritik hammaddelerin temin edilmesi </w:t>
      </w:r>
      <w:r w:rsidRPr="00FF5402">
        <w:rPr>
          <w:rFonts w:ascii="Times New Roman" w:hAnsi="Times New Roman" w:cs="Times New Roman"/>
          <w:sz w:val="24"/>
          <w:szCs w:val="24"/>
        </w:rPr>
        <w:t>için AB’nin ticaret ortaklarına ihtiyaç duyacağına işaret edilmiştir.</w:t>
      </w:r>
    </w:p>
    <w:p w14:paraId="37AA8CB7" w14:textId="77777777" w:rsidR="0039508F" w:rsidRDefault="0039508F" w:rsidP="0039508F">
      <w:pPr>
        <w:pStyle w:val="ListeParagraf"/>
        <w:numPr>
          <w:ilvl w:val="0"/>
          <w:numId w:val="1"/>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Almanya </w:t>
      </w:r>
      <w:r>
        <w:rPr>
          <w:rFonts w:ascii="Times New Roman" w:hAnsi="Times New Roman" w:cs="Times New Roman"/>
          <w:sz w:val="24"/>
          <w:szCs w:val="24"/>
        </w:rPr>
        <w:t>tarafından “</w:t>
      </w:r>
      <w:r w:rsidRPr="00FF5402">
        <w:rPr>
          <w:rFonts w:ascii="Times New Roman" w:hAnsi="Times New Roman" w:cs="Times New Roman"/>
          <w:sz w:val="24"/>
          <w:szCs w:val="24"/>
        </w:rPr>
        <w:t>Birlik menşe” kapsamında STA ortaklarının özellikle stratejik hammadde temini için kapsamda tutulması gereğine işaret edilmiş, üçüncü ülkelerin karşılıklılık yoksa kamu alımları pazarından dışlanması, Taslak hükümlerinin AB’nin kamu alımları mevzuatı revizyonu ile uyumlu olması, çeliğe düşük karbona ek olarak “Birlik menşe” kriteri getirilmesi</w:t>
      </w:r>
      <w:r>
        <w:rPr>
          <w:rFonts w:ascii="Times New Roman" w:hAnsi="Times New Roman" w:cs="Times New Roman"/>
          <w:sz w:val="24"/>
          <w:szCs w:val="24"/>
        </w:rPr>
        <w:t xml:space="preserve"> talep edilmiştir.</w:t>
      </w:r>
    </w:p>
    <w:p w14:paraId="24E51F79" w14:textId="77777777" w:rsidR="0039508F" w:rsidRPr="00AA6A4F" w:rsidRDefault="0039508F" w:rsidP="0039508F">
      <w:pPr>
        <w:pStyle w:val="ListeParagraf"/>
        <w:numPr>
          <w:ilvl w:val="0"/>
          <w:numId w:val="1"/>
        </w:numPr>
        <w:spacing w:before="120" w:after="120" w:line="240" w:lineRule="auto"/>
        <w:contextualSpacing w:val="0"/>
        <w:jc w:val="both"/>
        <w:rPr>
          <w:rFonts w:ascii="Times New Roman" w:hAnsi="Times New Roman" w:cs="Times New Roman"/>
          <w:sz w:val="24"/>
          <w:szCs w:val="24"/>
        </w:rPr>
      </w:pPr>
      <w:r w:rsidRPr="00AA6A4F">
        <w:rPr>
          <w:rFonts w:ascii="Times New Roman" w:hAnsi="Times New Roman" w:cs="Times New Roman"/>
          <w:b/>
          <w:bCs/>
          <w:sz w:val="24"/>
          <w:szCs w:val="24"/>
        </w:rPr>
        <w:t xml:space="preserve">Avusturya </w:t>
      </w:r>
      <w:r w:rsidRPr="00AA6A4F">
        <w:rPr>
          <w:rFonts w:ascii="Times New Roman" w:hAnsi="Times New Roman" w:cs="Times New Roman"/>
          <w:sz w:val="24"/>
          <w:szCs w:val="24"/>
        </w:rPr>
        <w:t>ise, devlet yardımları bakımından daha katı bir Birlik menşei uygulamasına karşı</w:t>
      </w:r>
      <w:r>
        <w:rPr>
          <w:rFonts w:ascii="Times New Roman" w:hAnsi="Times New Roman" w:cs="Times New Roman"/>
          <w:sz w:val="24"/>
          <w:szCs w:val="24"/>
        </w:rPr>
        <w:t>,</w:t>
      </w:r>
      <w:r w:rsidRPr="00AA6A4F">
        <w:rPr>
          <w:rFonts w:ascii="Times New Roman" w:hAnsi="Times New Roman" w:cs="Times New Roman"/>
          <w:sz w:val="24"/>
          <w:szCs w:val="24"/>
        </w:rPr>
        <w:t xml:space="preserve"> kamu alımları</w:t>
      </w:r>
      <w:r>
        <w:rPr>
          <w:rFonts w:ascii="Times New Roman" w:hAnsi="Times New Roman" w:cs="Times New Roman"/>
          <w:sz w:val="24"/>
          <w:szCs w:val="24"/>
        </w:rPr>
        <w:t xml:space="preserve"> </w:t>
      </w:r>
      <w:r w:rsidRPr="00AA6A4F">
        <w:rPr>
          <w:rFonts w:ascii="Times New Roman" w:hAnsi="Times New Roman" w:cs="Times New Roman"/>
          <w:sz w:val="24"/>
          <w:szCs w:val="24"/>
        </w:rPr>
        <w:t>kapsamında mütekabiliyet başta olmak üzere belirli şartlar altında partner ülkelerin dahil</w:t>
      </w:r>
      <w:r>
        <w:rPr>
          <w:rFonts w:ascii="Times New Roman" w:hAnsi="Times New Roman" w:cs="Times New Roman"/>
          <w:sz w:val="24"/>
          <w:szCs w:val="24"/>
        </w:rPr>
        <w:t xml:space="preserve"> </w:t>
      </w:r>
      <w:r w:rsidRPr="00AA6A4F">
        <w:rPr>
          <w:rFonts w:ascii="Times New Roman" w:hAnsi="Times New Roman" w:cs="Times New Roman"/>
          <w:sz w:val="24"/>
          <w:szCs w:val="24"/>
        </w:rPr>
        <w:t>edilebileceği</w:t>
      </w:r>
      <w:r>
        <w:rPr>
          <w:rFonts w:ascii="Times New Roman" w:hAnsi="Times New Roman" w:cs="Times New Roman"/>
          <w:sz w:val="24"/>
          <w:szCs w:val="24"/>
        </w:rPr>
        <w:t xml:space="preserve">ni </w:t>
      </w:r>
      <w:r w:rsidRPr="00AA6A4F">
        <w:rPr>
          <w:rFonts w:ascii="Times New Roman" w:hAnsi="Times New Roman" w:cs="Times New Roman"/>
          <w:sz w:val="24"/>
          <w:szCs w:val="24"/>
        </w:rPr>
        <w:t>vurgulamıştır.</w:t>
      </w:r>
    </w:p>
    <w:p w14:paraId="04F53A61" w14:textId="77777777" w:rsidR="0039508F" w:rsidRDefault="0039508F" w:rsidP="0039508F">
      <w:pPr>
        <w:pStyle w:val="ListeParagraf"/>
        <w:numPr>
          <w:ilvl w:val="0"/>
          <w:numId w:val="1"/>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İspanya </w:t>
      </w:r>
      <w:r>
        <w:rPr>
          <w:rFonts w:ascii="Times New Roman" w:hAnsi="Times New Roman" w:cs="Times New Roman"/>
          <w:sz w:val="24"/>
          <w:szCs w:val="24"/>
        </w:rPr>
        <w:t>tarafından “</w:t>
      </w:r>
      <w:r w:rsidRPr="00FF5402">
        <w:rPr>
          <w:rFonts w:ascii="Times New Roman" w:hAnsi="Times New Roman" w:cs="Times New Roman"/>
          <w:sz w:val="24"/>
          <w:szCs w:val="24"/>
        </w:rPr>
        <w:t xml:space="preserve">Birlik menşe” kuralının kapsamının çok geniş olmaması gerektiği, sektör kapsamının detaylı bir analizle ihtiyaca göre belirlenmesinde, bu bağlamda kimyasallar, gemi inşası, yapı malzemeleri, demiryolu ve </w:t>
      </w:r>
      <w:proofErr w:type="gramStart"/>
      <w:r w:rsidRPr="00FF5402">
        <w:rPr>
          <w:rFonts w:ascii="Times New Roman" w:hAnsi="Times New Roman" w:cs="Times New Roman"/>
          <w:sz w:val="24"/>
          <w:szCs w:val="24"/>
        </w:rPr>
        <w:t>rüzgar</w:t>
      </w:r>
      <w:proofErr w:type="gramEnd"/>
      <w:r w:rsidRPr="00FF5402">
        <w:rPr>
          <w:rFonts w:ascii="Times New Roman" w:hAnsi="Times New Roman" w:cs="Times New Roman"/>
          <w:sz w:val="24"/>
          <w:szCs w:val="24"/>
        </w:rPr>
        <w:t xml:space="preserve"> enerjisini kapsamasında fayda görüldüğü ifade edilmiş, ETS kıyas değerlerinin revizyonu ve metal hurdanın AB’den ihracatının kısıtlanmasına yönelik</w:t>
      </w:r>
      <w:r>
        <w:rPr>
          <w:rFonts w:ascii="Times New Roman" w:hAnsi="Times New Roman" w:cs="Times New Roman"/>
          <w:sz w:val="24"/>
          <w:szCs w:val="24"/>
        </w:rPr>
        <w:t xml:space="preserve"> talepler dile getirilmiştir.</w:t>
      </w:r>
    </w:p>
    <w:p w14:paraId="4ECD5169" w14:textId="77777777" w:rsidR="0039508F" w:rsidRPr="00AA6A4F" w:rsidRDefault="0039508F" w:rsidP="0039508F">
      <w:pPr>
        <w:pStyle w:val="ListeParagraf"/>
        <w:numPr>
          <w:ilvl w:val="0"/>
          <w:numId w:val="1"/>
        </w:numPr>
        <w:spacing w:before="120" w:after="120" w:line="240" w:lineRule="auto"/>
        <w:contextualSpacing w:val="0"/>
        <w:jc w:val="both"/>
        <w:rPr>
          <w:rFonts w:ascii="Times New Roman" w:hAnsi="Times New Roman" w:cs="Times New Roman"/>
          <w:sz w:val="24"/>
          <w:szCs w:val="24"/>
        </w:rPr>
      </w:pPr>
      <w:r w:rsidRPr="00AA6A4F">
        <w:rPr>
          <w:rFonts w:ascii="Times New Roman" w:hAnsi="Times New Roman" w:cs="Times New Roman"/>
          <w:sz w:val="24"/>
          <w:szCs w:val="24"/>
        </w:rPr>
        <w:t xml:space="preserve">Buna karşılık </w:t>
      </w:r>
      <w:r w:rsidRPr="00AA6A4F">
        <w:rPr>
          <w:rFonts w:ascii="Times New Roman" w:hAnsi="Times New Roman" w:cs="Times New Roman"/>
          <w:b/>
          <w:bCs/>
          <w:sz w:val="24"/>
          <w:szCs w:val="24"/>
        </w:rPr>
        <w:t>Belçika ve Lüksemburg</w:t>
      </w:r>
      <w:r w:rsidRPr="00AA6A4F">
        <w:rPr>
          <w:rFonts w:ascii="Times New Roman" w:hAnsi="Times New Roman" w:cs="Times New Roman"/>
          <w:sz w:val="24"/>
          <w:szCs w:val="24"/>
        </w:rPr>
        <w:t xml:space="preserve"> başta olmak üzere bazı üye ülkeler “</w:t>
      </w:r>
      <w:proofErr w:type="spellStart"/>
      <w:r w:rsidRPr="00AA6A4F">
        <w:rPr>
          <w:rFonts w:ascii="Times New Roman" w:hAnsi="Times New Roman" w:cs="Times New Roman"/>
          <w:sz w:val="24"/>
          <w:szCs w:val="24"/>
        </w:rPr>
        <w:t>Made</w:t>
      </w:r>
      <w:proofErr w:type="spellEnd"/>
      <w:r w:rsidRPr="00AA6A4F">
        <w:rPr>
          <w:rFonts w:ascii="Times New Roman" w:hAnsi="Times New Roman" w:cs="Times New Roman"/>
          <w:sz w:val="24"/>
          <w:szCs w:val="24"/>
        </w:rPr>
        <w:t xml:space="preserve"> </w:t>
      </w:r>
      <w:proofErr w:type="spellStart"/>
      <w:r w:rsidRPr="00AA6A4F">
        <w:rPr>
          <w:rFonts w:ascii="Times New Roman" w:hAnsi="Times New Roman" w:cs="Times New Roman"/>
          <w:sz w:val="24"/>
          <w:szCs w:val="24"/>
        </w:rPr>
        <w:t>with</w:t>
      </w:r>
      <w:proofErr w:type="spellEnd"/>
    </w:p>
    <w:p w14:paraId="35B90F7F" w14:textId="77777777" w:rsidR="0039508F" w:rsidRPr="00AA6A4F" w:rsidRDefault="0039508F" w:rsidP="0039508F">
      <w:pPr>
        <w:pStyle w:val="ListeParagraf"/>
        <w:spacing w:before="120" w:after="120" w:line="240" w:lineRule="auto"/>
        <w:contextualSpacing w:val="0"/>
        <w:jc w:val="both"/>
        <w:rPr>
          <w:rFonts w:ascii="Times New Roman" w:hAnsi="Times New Roman" w:cs="Times New Roman"/>
          <w:sz w:val="24"/>
          <w:szCs w:val="24"/>
        </w:rPr>
      </w:pPr>
      <w:r w:rsidRPr="00AA6A4F">
        <w:rPr>
          <w:rFonts w:ascii="Times New Roman" w:hAnsi="Times New Roman" w:cs="Times New Roman"/>
          <w:sz w:val="24"/>
          <w:szCs w:val="24"/>
        </w:rPr>
        <w:t>Europe” yaklaşımını desteklediklerini açıkça belirtmiş; güvenilir ticaret ortaklarının belirli</w:t>
      </w:r>
      <w:r>
        <w:rPr>
          <w:rFonts w:ascii="Times New Roman" w:hAnsi="Times New Roman" w:cs="Times New Roman"/>
          <w:sz w:val="24"/>
          <w:szCs w:val="24"/>
        </w:rPr>
        <w:t xml:space="preserve"> </w:t>
      </w:r>
      <w:r w:rsidRPr="00AA6A4F">
        <w:rPr>
          <w:rFonts w:ascii="Times New Roman" w:hAnsi="Times New Roman" w:cs="Times New Roman"/>
          <w:sz w:val="24"/>
          <w:szCs w:val="24"/>
        </w:rPr>
        <w:t>ölçüde sistem içerisinde tutulmasının önemine işaret etmişlerdir.</w:t>
      </w:r>
    </w:p>
    <w:p w14:paraId="179459A0" w14:textId="77777777" w:rsidR="0039508F" w:rsidRDefault="0039508F" w:rsidP="0039508F">
      <w:pPr>
        <w:pStyle w:val="ListeParagraf"/>
        <w:numPr>
          <w:ilvl w:val="0"/>
          <w:numId w:val="1"/>
        </w:numPr>
        <w:spacing w:before="120" w:after="120" w:line="240" w:lineRule="auto"/>
        <w:contextualSpacing w:val="0"/>
        <w:jc w:val="both"/>
        <w:rPr>
          <w:rFonts w:ascii="Times New Roman" w:hAnsi="Times New Roman" w:cs="Times New Roman"/>
          <w:sz w:val="24"/>
          <w:szCs w:val="24"/>
        </w:rPr>
      </w:pPr>
      <w:r w:rsidRPr="0017284A">
        <w:rPr>
          <w:rFonts w:ascii="Times New Roman" w:hAnsi="Times New Roman" w:cs="Times New Roman"/>
          <w:b/>
          <w:bCs/>
          <w:sz w:val="24"/>
          <w:szCs w:val="24"/>
        </w:rPr>
        <w:t>Çek Cumhuriyeti, Polonya, Estonya, Malta, Bulgaristan, Romanya</w:t>
      </w:r>
      <w:r>
        <w:rPr>
          <w:rFonts w:ascii="Times New Roman" w:hAnsi="Times New Roman" w:cs="Times New Roman"/>
          <w:sz w:val="24"/>
          <w:szCs w:val="24"/>
        </w:rPr>
        <w:t xml:space="preserve"> gibi pek çok Doğu Avrupa ülkesi tarafından üçüncü ülkelere olan hammadde bağımlılığı dikkate alınarak </w:t>
      </w:r>
      <w:r w:rsidRPr="0017284A">
        <w:rPr>
          <w:rFonts w:ascii="Times New Roman" w:hAnsi="Times New Roman" w:cs="Times New Roman"/>
          <w:b/>
          <w:bCs/>
          <w:sz w:val="24"/>
          <w:szCs w:val="24"/>
        </w:rPr>
        <w:t>“</w:t>
      </w:r>
      <w:r w:rsidRPr="00FF5402">
        <w:rPr>
          <w:rFonts w:ascii="Times New Roman" w:hAnsi="Times New Roman" w:cs="Times New Roman"/>
          <w:sz w:val="24"/>
          <w:szCs w:val="24"/>
        </w:rPr>
        <w:t xml:space="preserve">Birlik menşe” kuralının karşılıklılık esasında AB’nin ticari ortaklarını kapsaması gerektiği, AB’nin rekabetçiliğinin önündeki en büyük engelin yüksek enerji fiyatları olduğu, özellikle düşük karbon kriterinin AB içi ülkeler arasında dezavantaj oluşturacağı ifade edilmiş, fosil yakıtlara bağımlı olan bu ülkeler tarafından ETS ve SKDM gibi politikaların gözden geçirilmesi, </w:t>
      </w:r>
      <w:proofErr w:type="spellStart"/>
      <w:r w:rsidRPr="00FF5402">
        <w:rPr>
          <w:rFonts w:ascii="Times New Roman" w:hAnsi="Times New Roman" w:cs="Times New Roman"/>
          <w:sz w:val="24"/>
          <w:szCs w:val="24"/>
        </w:rPr>
        <w:t>ETS’nin</w:t>
      </w:r>
      <w:proofErr w:type="spellEnd"/>
      <w:r w:rsidRPr="00FF5402">
        <w:rPr>
          <w:rFonts w:ascii="Times New Roman" w:hAnsi="Times New Roman" w:cs="Times New Roman"/>
          <w:sz w:val="24"/>
          <w:szCs w:val="24"/>
        </w:rPr>
        <w:t xml:space="preserve"> enerji fiyatları üzerindeki baskıyı azaltacak şekilde revize edilmesi</w:t>
      </w:r>
      <w:r>
        <w:rPr>
          <w:rFonts w:ascii="Times New Roman" w:hAnsi="Times New Roman" w:cs="Times New Roman"/>
          <w:sz w:val="24"/>
          <w:szCs w:val="24"/>
        </w:rPr>
        <w:t xml:space="preserve"> talep edilmiştir.</w:t>
      </w:r>
      <w:r w:rsidRPr="00AA6A4F">
        <w:t xml:space="preserve"> </w:t>
      </w:r>
      <w:r w:rsidRPr="00AA6A4F">
        <w:rPr>
          <w:rFonts w:ascii="Times New Roman" w:hAnsi="Times New Roman" w:cs="Times New Roman"/>
          <w:b/>
          <w:bCs/>
          <w:sz w:val="24"/>
          <w:szCs w:val="24"/>
        </w:rPr>
        <w:t>Slovakya</w:t>
      </w:r>
      <w:r>
        <w:rPr>
          <w:rFonts w:ascii="Times New Roman" w:hAnsi="Times New Roman" w:cs="Times New Roman"/>
          <w:sz w:val="24"/>
          <w:szCs w:val="24"/>
        </w:rPr>
        <w:t xml:space="preserve"> </w:t>
      </w:r>
      <w:r w:rsidRPr="00AA6A4F">
        <w:rPr>
          <w:rFonts w:ascii="Times New Roman" w:hAnsi="Times New Roman" w:cs="Times New Roman"/>
          <w:sz w:val="24"/>
          <w:szCs w:val="24"/>
        </w:rPr>
        <w:t>“Birlik menşei” kavramının dayanıklılığı artırmak ve tedarik zincirlerini çeşitlendirmek</w:t>
      </w:r>
      <w:r>
        <w:rPr>
          <w:rFonts w:ascii="Times New Roman" w:hAnsi="Times New Roman" w:cs="Times New Roman"/>
          <w:sz w:val="24"/>
          <w:szCs w:val="24"/>
        </w:rPr>
        <w:t xml:space="preserve"> </w:t>
      </w:r>
      <w:r w:rsidRPr="00AA6A4F">
        <w:rPr>
          <w:rFonts w:ascii="Times New Roman" w:hAnsi="Times New Roman" w:cs="Times New Roman"/>
          <w:sz w:val="24"/>
          <w:szCs w:val="24"/>
        </w:rPr>
        <w:t xml:space="preserve">amacıyla daha geniş yorumlanmasını savunmuştur. </w:t>
      </w:r>
      <w:r w:rsidRPr="00AA6A4F">
        <w:rPr>
          <w:rFonts w:ascii="Times New Roman" w:hAnsi="Times New Roman" w:cs="Times New Roman"/>
          <w:b/>
          <w:bCs/>
          <w:sz w:val="24"/>
          <w:szCs w:val="24"/>
        </w:rPr>
        <w:t>Romanya</w:t>
      </w:r>
      <w:r w:rsidRPr="00AA6A4F">
        <w:rPr>
          <w:rFonts w:ascii="Times New Roman" w:hAnsi="Times New Roman" w:cs="Times New Roman"/>
          <w:sz w:val="24"/>
          <w:szCs w:val="24"/>
        </w:rPr>
        <w:t xml:space="preserve"> sektörel bir yaklaşımın da</w:t>
      </w:r>
      <w:r>
        <w:rPr>
          <w:rFonts w:ascii="Times New Roman" w:hAnsi="Times New Roman" w:cs="Times New Roman"/>
          <w:sz w:val="24"/>
          <w:szCs w:val="24"/>
        </w:rPr>
        <w:t xml:space="preserve"> </w:t>
      </w:r>
      <w:r w:rsidRPr="00AA6A4F">
        <w:rPr>
          <w:rFonts w:ascii="Times New Roman" w:hAnsi="Times New Roman" w:cs="Times New Roman"/>
          <w:sz w:val="24"/>
          <w:szCs w:val="24"/>
        </w:rPr>
        <w:t>değerlendirilebileceğini; bu kapsamda çelik ve çimento gibi sektörlerde daha sıkı AB menşei</w:t>
      </w:r>
      <w:r>
        <w:rPr>
          <w:rFonts w:ascii="Times New Roman" w:hAnsi="Times New Roman" w:cs="Times New Roman"/>
          <w:sz w:val="24"/>
          <w:szCs w:val="24"/>
        </w:rPr>
        <w:t xml:space="preserve"> </w:t>
      </w:r>
      <w:r w:rsidRPr="00AA6A4F">
        <w:rPr>
          <w:rFonts w:ascii="Times New Roman" w:hAnsi="Times New Roman" w:cs="Times New Roman"/>
          <w:sz w:val="24"/>
          <w:szCs w:val="24"/>
        </w:rPr>
        <w:t>gereklerine karşın otomotiv gibi sektörlerde değer zincirlerinin dikkate alınması gerektiğini</w:t>
      </w:r>
      <w:r>
        <w:rPr>
          <w:rFonts w:ascii="Times New Roman" w:hAnsi="Times New Roman" w:cs="Times New Roman"/>
          <w:sz w:val="24"/>
          <w:szCs w:val="24"/>
        </w:rPr>
        <w:t xml:space="preserve"> </w:t>
      </w:r>
      <w:r w:rsidRPr="00AA6A4F">
        <w:rPr>
          <w:rFonts w:ascii="Times New Roman" w:hAnsi="Times New Roman" w:cs="Times New Roman"/>
          <w:sz w:val="24"/>
          <w:szCs w:val="24"/>
        </w:rPr>
        <w:t>belirtmiştir.</w:t>
      </w:r>
    </w:p>
    <w:p w14:paraId="313F047A" w14:textId="77777777" w:rsidR="0039508F" w:rsidRDefault="0039508F" w:rsidP="0039508F">
      <w:pPr>
        <w:pStyle w:val="ListeParagraf"/>
        <w:numPr>
          <w:ilvl w:val="0"/>
          <w:numId w:val="1"/>
        </w:numPr>
        <w:spacing w:before="120" w:after="120" w:line="240" w:lineRule="auto"/>
        <w:contextualSpacing w:val="0"/>
        <w:jc w:val="both"/>
        <w:rPr>
          <w:rFonts w:ascii="Times New Roman" w:hAnsi="Times New Roman" w:cs="Times New Roman"/>
          <w:sz w:val="24"/>
          <w:szCs w:val="24"/>
        </w:rPr>
      </w:pPr>
      <w:r w:rsidRPr="00AA6A4F">
        <w:rPr>
          <w:rFonts w:ascii="Times New Roman" w:hAnsi="Times New Roman" w:cs="Times New Roman"/>
          <w:b/>
          <w:bCs/>
          <w:sz w:val="24"/>
          <w:szCs w:val="24"/>
        </w:rPr>
        <w:t>İsveç, Estonya, Litvanya, Malta ve Finlandiya</w:t>
      </w:r>
      <w:r w:rsidRPr="00AA6A4F">
        <w:rPr>
          <w:rFonts w:ascii="Times New Roman" w:hAnsi="Times New Roman" w:cs="Times New Roman"/>
          <w:sz w:val="24"/>
          <w:szCs w:val="24"/>
        </w:rPr>
        <w:t xml:space="preserve"> gibi görece daha açık</w:t>
      </w:r>
      <w:r>
        <w:rPr>
          <w:rFonts w:ascii="Times New Roman" w:hAnsi="Times New Roman" w:cs="Times New Roman"/>
          <w:sz w:val="24"/>
          <w:szCs w:val="24"/>
        </w:rPr>
        <w:t xml:space="preserve"> </w:t>
      </w:r>
      <w:r w:rsidRPr="00AA6A4F">
        <w:rPr>
          <w:rFonts w:ascii="Times New Roman" w:hAnsi="Times New Roman" w:cs="Times New Roman"/>
          <w:sz w:val="24"/>
          <w:szCs w:val="24"/>
        </w:rPr>
        <w:t>ekonomiye sahip ülkeler ise AB’nin açık piyasa yapısının, uluslararası yükümlülüklerinin ve</w:t>
      </w:r>
      <w:r>
        <w:rPr>
          <w:rFonts w:ascii="Times New Roman" w:hAnsi="Times New Roman" w:cs="Times New Roman"/>
          <w:sz w:val="24"/>
          <w:szCs w:val="24"/>
        </w:rPr>
        <w:t xml:space="preserve"> </w:t>
      </w:r>
      <w:r w:rsidRPr="00AA6A4F">
        <w:rPr>
          <w:rFonts w:ascii="Times New Roman" w:hAnsi="Times New Roman" w:cs="Times New Roman"/>
          <w:sz w:val="24"/>
          <w:szCs w:val="24"/>
        </w:rPr>
        <w:t>güvenilir ticaret ortaklarıyla ilişkilerinin korunmasının önemini vurgulamış; aşırı katı menşe</w:t>
      </w:r>
      <w:r>
        <w:rPr>
          <w:rFonts w:ascii="Times New Roman" w:hAnsi="Times New Roman" w:cs="Times New Roman"/>
          <w:sz w:val="24"/>
          <w:szCs w:val="24"/>
        </w:rPr>
        <w:t xml:space="preserve"> </w:t>
      </w:r>
      <w:r w:rsidRPr="00AA6A4F">
        <w:rPr>
          <w:rFonts w:ascii="Times New Roman" w:hAnsi="Times New Roman" w:cs="Times New Roman"/>
          <w:sz w:val="24"/>
          <w:szCs w:val="24"/>
        </w:rPr>
        <w:t>kriterlerinin tedarik zincirlerini, yatırım ortamını ve rekabetçiliği olumsuz etkileyebileceği</w:t>
      </w:r>
      <w:r>
        <w:rPr>
          <w:rFonts w:ascii="Times New Roman" w:hAnsi="Times New Roman" w:cs="Times New Roman"/>
          <w:sz w:val="24"/>
          <w:szCs w:val="24"/>
        </w:rPr>
        <w:t xml:space="preserve"> </w:t>
      </w:r>
      <w:r w:rsidRPr="00AA6A4F">
        <w:rPr>
          <w:rFonts w:ascii="Times New Roman" w:hAnsi="Times New Roman" w:cs="Times New Roman"/>
          <w:sz w:val="24"/>
          <w:szCs w:val="24"/>
        </w:rPr>
        <w:t xml:space="preserve">yönünde uyarılarda bulunmuşlardır. Özellikle </w:t>
      </w:r>
      <w:r w:rsidRPr="00AA6A4F">
        <w:rPr>
          <w:rFonts w:ascii="Times New Roman" w:hAnsi="Times New Roman" w:cs="Times New Roman"/>
          <w:b/>
          <w:bCs/>
          <w:sz w:val="24"/>
          <w:szCs w:val="24"/>
        </w:rPr>
        <w:t>Estonya, Malta ve Finlandiya</w:t>
      </w:r>
      <w:r w:rsidRPr="00AA6A4F">
        <w:rPr>
          <w:rFonts w:ascii="Times New Roman" w:hAnsi="Times New Roman" w:cs="Times New Roman"/>
          <w:sz w:val="24"/>
          <w:szCs w:val="24"/>
        </w:rPr>
        <w:t>, küçük ve dış</w:t>
      </w:r>
      <w:r>
        <w:rPr>
          <w:rFonts w:ascii="Times New Roman" w:hAnsi="Times New Roman" w:cs="Times New Roman"/>
          <w:sz w:val="24"/>
          <w:szCs w:val="24"/>
        </w:rPr>
        <w:t xml:space="preserve"> </w:t>
      </w:r>
      <w:r w:rsidRPr="00AA6A4F">
        <w:rPr>
          <w:rFonts w:ascii="Times New Roman" w:hAnsi="Times New Roman" w:cs="Times New Roman"/>
          <w:sz w:val="24"/>
          <w:szCs w:val="24"/>
        </w:rPr>
        <w:t>ticarete açık ekonomiler açısından esneklik, öngörülebilirlik ve idari sadeleşmenin kritik</w:t>
      </w:r>
      <w:r>
        <w:rPr>
          <w:rFonts w:ascii="Times New Roman" w:hAnsi="Times New Roman" w:cs="Times New Roman"/>
          <w:sz w:val="24"/>
          <w:szCs w:val="24"/>
        </w:rPr>
        <w:t xml:space="preserve"> </w:t>
      </w:r>
      <w:r w:rsidRPr="00AA6A4F">
        <w:rPr>
          <w:rFonts w:ascii="Times New Roman" w:hAnsi="Times New Roman" w:cs="Times New Roman"/>
          <w:sz w:val="24"/>
          <w:szCs w:val="24"/>
        </w:rPr>
        <w:t>önemde olduğunu ifade etmişlerdir.</w:t>
      </w:r>
    </w:p>
    <w:p w14:paraId="599B7C62" w14:textId="77777777" w:rsidR="0039508F" w:rsidRDefault="0039508F" w:rsidP="0039508F">
      <w:pPr>
        <w:spacing w:after="0" w:line="240" w:lineRule="auto"/>
        <w:jc w:val="both"/>
        <w:rPr>
          <w:rFonts w:ascii="Times New Roman" w:hAnsi="Times New Roman" w:cs="Times New Roman"/>
          <w:sz w:val="24"/>
          <w:szCs w:val="24"/>
        </w:rPr>
      </w:pPr>
    </w:p>
    <w:p w14:paraId="1A068A03" w14:textId="77777777" w:rsidR="0039508F" w:rsidRDefault="0039508F" w:rsidP="0039508F">
      <w:pPr>
        <w:spacing w:after="0" w:line="240" w:lineRule="auto"/>
        <w:ind w:firstLine="708"/>
        <w:jc w:val="both"/>
        <w:rPr>
          <w:rFonts w:ascii="Times New Roman" w:hAnsi="Times New Roman" w:cs="Times New Roman"/>
          <w:sz w:val="24"/>
          <w:szCs w:val="24"/>
        </w:rPr>
      </w:pPr>
      <w:r w:rsidRPr="008367DE">
        <w:rPr>
          <w:rFonts w:ascii="Times New Roman" w:hAnsi="Times New Roman" w:cs="Times New Roman"/>
          <w:sz w:val="24"/>
          <w:szCs w:val="24"/>
        </w:rPr>
        <w:t>Ayrıca, “Birlik menşe” ve düşük karbon kriterlerinin AB sanayisi üzerinde ilave idari ve mali yük oluşturarak rekabetçiliği olumsuz etkileyebileceğine yönelik endişeler dile getirilmiş; söz konusu kriterlere ilişkin kuralların yetki devrine dayanan mevzuatlarla sonradan belirlenmesi yerine Taslak metinde açık ve net şekilde tanımlanması gerektiği vurgulanmıştır.</w:t>
      </w:r>
    </w:p>
    <w:p w14:paraId="1D9CDCD0" w14:textId="77777777" w:rsidR="0039508F" w:rsidRDefault="0039508F" w:rsidP="0039508F">
      <w:pPr>
        <w:spacing w:after="0" w:line="240" w:lineRule="auto"/>
        <w:ind w:firstLine="708"/>
        <w:jc w:val="both"/>
        <w:rPr>
          <w:rFonts w:ascii="Times New Roman" w:hAnsi="Times New Roman" w:cs="Times New Roman"/>
          <w:sz w:val="24"/>
          <w:szCs w:val="24"/>
        </w:rPr>
      </w:pPr>
    </w:p>
    <w:p w14:paraId="64C66CA6" w14:textId="07E95635" w:rsidR="0039508F" w:rsidRPr="0039508F" w:rsidRDefault="0039508F" w:rsidP="0039508F">
      <w:pPr>
        <w:spacing w:after="0" w:line="240" w:lineRule="auto"/>
        <w:ind w:firstLine="708"/>
        <w:jc w:val="both"/>
        <w:rPr>
          <w:rFonts w:ascii="Times New Roman" w:hAnsi="Times New Roman" w:cs="Times New Roman"/>
          <w:sz w:val="24"/>
          <w:szCs w:val="24"/>
        </w:rPr>
      </w:pPr>
      <w:r>
        <w:rPr>
          <w:rFonts w:ascii="TimesNewRomanPSMT" w:hAnsi="TimesNewRomanPSMT" w:cs="TimesNewRomanPSMT"/>
          <w:sz w:val="24"/>
          <w:szCs w:val="24"/>
        </w:rPr>
        <w:t xml:space="preserve">Üye ülkeler tarafından </w:t>
      </w:r>
      <w:r>
        <w:rPr>
          <w:rFonts w:ascii="TimesNewRomanPS-BoldMT" w:hAnsi="TimesNewRomanPS-BoldMT" w:cs="TimesNewRomanPS-BoldMT"/>
          <w:b/>
          <w:bCs/>
          <w:sz w:val="24"/>
          <w:szCs w:val="24"/>
        </w:rPr>
        <w:t xml:space="preserve">sektörel kapsamın genişletilmesine yönelik çeşitli talepler </w:t>
      </w:r>
      <w:r>
        <w:rPr>
          <w:rFonts w:ascii="TimesNewRomanPSMT" w:hAnsi="TimesNewRomanPSMT" w:cs="TimesNewRomanPSMT"/>
          <w:sz w:val="24"/>
          <w:szCs w:val="24"/>
        </w:rPr>
        <w:t xml:space="preserve">de gündeme getirilmiştir. İspanya; kimya, </w:t>
      </w:r>
      <w:proofErr w:type="gramStart"/>
      <w:r>
        <w:rPr>
          <w:rFonts w:ascii="TimesNewRomanPSMT" w:hAnsi="TimesNewRomanPSMT" w:cs="TimesNewRomanPSMT"/>
          <w:sz w:val="24"/>
          <w:szCs w:val="24"/>
        </w:rPr>
        <w:t>rüzgar</w:t>
      </w:r>
      <w:proofErr w:type="gramEnd"/>
      <w:r>
        <w:rPr>
          <w:rFonts w:ascii="TimesNewRomanPSMT" w:hAnsi="TimesNewRomanPSMT" w:cs="TimesNewRomanPSMT"/>
          <w:sz w:val="24"/>
          <w:szCs w:val="24"/>
        </w:rPr>
        <w:t xml:space="preserve"> enerjisi, inşaat malzemeleri, demiryolu ve gemi inşa sektörlerinin kapsam içine alınmasını savunmuş; Yunanistan gemi inşa ve tel üretim sektörlerine dikkat çekmiş; Bulgaristan kimya sanayiinin stratejik sektörler arasına dahil edilmesi gerektiğini ifade etmiştir. Avusturya ise kuantum, mikroelektronik, </w:t>
      </w:r>
      <w:proofErr w:type="spellStart"/>
      <w:r>
        <w:rPr>
          <w:rFonts w:ascii="TimesNewRomanPSMT" w:hAnsi="TimesNewRomanPSMT" w:cs="TimesNewRomanPSMT"/>
          <w:sz w:val="24"/>
          <w:szCs w:val="24"/>
        </w:rPr>
        <w:t>biyofarmanın</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yanısıra</w:t>
      </w:r>
      <w:proofErr w:type="spellEnd"/>
      <w:r>
        <w:rPr>
          <w:rFonts w:ascii="TimesNewRomanPSMT" w:hAnsi="TimesNewRomanPSMT" w:cs="TimesNewRomanPSMT"/>
          <w:sz w:val="24"/>
          <w:szCs w:val="24"/>
        </w:rPr>
        <w:t xml:space="preserve"> temiz teknolojilerin kapsamının da hidrojen ve elektrikli araç şarj altyapısı gibi alanlara </w:t>
      </w:r>
      <w:r w:rsidRPr="009F1A8D">
        <w:rPr>
          <w:rFonts w:ascii="TimesNewRomanPSMT" w:hAnsi="TimesNewRomanPSMT" w:cs="TimesNewRomanPSMT"/>
          <w:sz w:val="24"/>
          <w:szCs w:val="24"/>
        </w:rPr>
        <w:t xml:space="preserve">daha güçlü şekilde desteklenmesini talep etmiştir. </w:t>
      </w:r>
      <w:proofErr w:type="spellStart"/>
      <w:r w:rsidRPr="009F1A8D">
        <w:rPr>
          <w:rFonts w:ascii="TimesNewRomanPSMT" w:hAnsi="TimesNewRomanPSMT" w:cs="TimesNewRomanPSMT"/>
          <w:sz w:val="24"/>
          <w:szCs w:val="24"/>
        </w:rPr>
        <w:t>Çekya</w:t>
      </w:r>
      <w:proofErr w:type="spellEnd"/>
      <w:r w:rsidRPr="009F1A8D">
        <w:rPr>
          <w:rFonts w:ascii="TimesNewRomanPSMT" w:hAnsi="TimesNewRomanPSMT" w:cs="TimesNewRomanPSMT"/>
          <w:sz w:val="24"/>
          <w:szCs w:val="24"/>
        </w:rPr>
        <w:t>, Romanya ve Slovakya otomotiv ve</w:t>
      </w:r>
      <w:r>
        <w:rPr>
          <w:rFonts w:ascii="TimesNewRomanPSMT" w:hAnsi="TimesNewRomanPSMT" w:cs="TimesNewRomanPSMT"/>
          <w:sz w:val="24"/>
          <w:szCs w:val="24"/>
        </w:rPr>
        <w:t xml:space="preserve"> nükleer sektörlerinin küresel tedarik zincirlerine yüksek derecede entegre olduğuna dikkat çekmiş; bu sektörlerde daha dikkatli ve kademeli geçiş mekanizmaları gerektiğini belirtmişlerdir. Diğer taraftan, Almanya ve Slovakya çelik için de getirilmiş olan düşük karbon şartının AB menşei şartı eklenerek genişletilmesini savunmuştur.</w:t>
      </w:r>
    </w:p>
    <w:p w14:paraId="2B42FE3D" w14:textId="77777777" w:rsidR="0039508F" w:rsidRDefault="0039508F" w:rsidP="0039508F">
      <w:pPr>
        <w:spacing w:after="0" w:line="240" w:lineRule="auto"/>
        <w:jc w:val="both"/>
        <w:rPr>
          <w:rFonts w:ascii="Times New Roman" w:hAnsi="Times New Roman" w:cs="Times New Roman"/>
          <w:sz w:val="24"/>
          <w:szCs w:val="24"/>
        </w:rPr>
      </w:pPr>
    </w:p>
    <w:p w14:paraId="3230F356" w14:textId="77777777" w:rsidR="0039508F" w:rsidRDefault="0039508F" w:rsidP="0039508F">
      <w:pPr>
        <w:spacing w:after="0" w:line="240" w:lineRule="auto"/>
        <w:jc w:val="both"/>
        <w:rPr>
          <w:rFonts w:ascii="Times New Roman" w:hAnsi="Times New Roman" w:cs="Times New Roman"/>
          <w:sz w:val="24"/>
          <w:szCs w:val="24"/>
        </w:rPr>
      </w:pPr>
    </w:p>
    <w:p w14:paraId="1DE03038" w14:textId="77777777" w:rsidR="0039508F" w:rsidRDefault="0039508F" w:rsidP="0039508F">
      <w:pPr>
        <w:spacing w:after="0" w:line="240" w:lineRule="auto"/>
        <w:jc w:val="both"/>
        <w:rPr>
          <w:rFonts w:ascii="Times New Roman" w:hAnsi="Times New Roman" w:cs="Times New Roman"/>
          <w:sz w:val="24"/>
          <w:szCs w:val="24"/>
        </w:rPr>
      </w:pPr>
    </w:p>
    <w:p w14:paraId="398B034F" w14:textId="77777777" w:rsidR="0039508F" w:rsidRPr="0039508F" w:rsidRDefault="0039508F" w:rsidP="0039508F">
      <w:pPr>
        <w:autoSpaceDE w:val="0"/>
        <w:autoSpaceDN w:val="0"/>
        <w:adjustRightInd w:val="0"/>
        <w:spacing w:before="100" w:after="220" w:line="240" w:lineRule="auto"/>
        <w:ind w:firstLine="720"/>
        <w:jc w:val="both"/>
        <w:rPr>
          <w:rFonts w:ascii="Times New Roman" w:hAnsi="Times New Roman" w:cs="Times New Roman"/>
          <w:sz w:val="24"/>
          <w:szCs w:val="24"/>
        </w:rPr>
      </w:pPr>
      <w:r w:rsidRPr="0039508F">
        <w:rPr>
          <w:rFonts w:ascii="Times New Roman" w:hAnsi="Times New Roman" w:cs="Times New Roman"/>
          <w:sz w:val="24"/>
          <w:szCs w:val="24"/>
        </w:rPr>
        <w:lastRenderedPageBreak/>
        <w:t>Toplantı gündemi kapsamında ön plana çıkan diğer hususlar aşağıda sıralanmaktadır:</w:t>
      </w:r>
    </w:p>
    <w:p w14:paraId="250AC764" w14:textId="77777777" w:rsidR="0039508F" w:rsidRPr="0039508F" w:rsidRDefault="0039508F" w:rsidP="0039508F">
      <w:pPr>
        <w:autoSpaceDE w:val="0"/>
        <w:autoSpaceDN w:val="0"/>
        <w:adjustRightInd w:val="0"/>
        <w:spacing w:before="100" w:after="220" w:line="240" w:lineRule="auto"/>
        <w:ind w:firstLine="720"/>
        <w:jc w:val="both"/>
        <w:rPr>
          <w:rFonts w:ascii="Times New Roman" w:hAnsi="Times New Roman" w:cs="Times New Roman"/>
          <w:sz w:val="24"/>
          <w:szCs w:val="24"/>
        </w:rPr>
      </w:pPr>
      <w:r w:rsidRPr="0039508F">
        <w:rPr>
          <w:rFonts w:ascii="Times New Roman" w:hAnsi="Times New Roman" w:cs="Times New Roman"/>
          <w:sz w:val="24"/>
          <w:szCs w:val="24"/>
        </w:rPr>
        <w:t xml:space="preserve">- Üye devletler </w:t>
      </w:r>
      <w:r w:rsidRPr="0039508F">
        <w:rPr>
          <w:rFonts w:ascii="Times New Roman" w:hAnsi="Times New Roman" w:cs="Times New Roman"/>
          <w:b/>
          <w:sz w:val="24"/>
          <w:szCs w:val="24"/>
        </w:rPr>
        <w:t>28. Rejim teklifini</w:t>
      </w:r>
      <w:r w:rsidRPr="0039508F">
        <w:rPr>
          <w:rFonts w:ascii="Times New Roman" w:hAnsi="Times New Roman" w:cs="Times New Roman"/>
          <w:sz w:val="24"/>
          <w:szCs w:val="24"/>
        </w:rPr>
        <w:t xml:space="preserve"> (EU </w:t>
      </w:r>
      <w:proofErr w:type="spellStart"/>
      <w:r w:rsidRPr="0039508F">
        <w:rPr>
          <w:rFonts w:ascii="Times New Roman" w:hAnsi="Times New Roman" w:cs="Times New Roman"/>
          <w:sz w:val="24"/>
          <w:szCs w:val="24"/>
        </w:rPr>
        <w:t>Inc</w:t>
      </w:r>
      <w:proofErr w:type="spellEnd"/>
      <w:r w:rsidRPr="0039508F">
        <w:rPr>
          <w:rFonts w:ascii="Times New Roman" w:hAnsi="Times New Roman" w:cs="Times New Roman"/>
          <w:sz w:val="24"/>
          <w:szCs w:val="24"/>
        </w:rPr>
        <w:t>.) memnuniyetle karşıladıklarını ve sadeleştirilmiş dijital şirketler hukuku rejiminin sağlayacağı faydaları vurgulamıştır. Bununla birlikte, birçok üye devlet dolandırıcılık, vergi kaçakçılığı ve kara para aklamanın önlenmesi amacıyla güçlü güvence mekanizmalarına ihtiyaç bulunduğunun altını çizmiştir.  Bakanlar Teklifin 2026 yılı sonuna kadar onaylanması gerektiğini ifade etmiştir.</w:t>
      </w:r>
    </w:p>
    <w:p w14:paraId="29900B11" w14:textId="77777777" w:rsidR="0039508F" w:rsidRPr="0039508F" w:rsidRDefault="0039508F" w:rsidP="0039508F">
      <w:pPr>
        <w:autoSpaceDE w:val="0"/>
        <w:autoSpaceDN w:val="0"/>
        <w:adjustRightInd w:val="0"/>
        <w:spacing w:before="100" w:after="220" w:line="240" w:lineRule="auto"/>
        <w:ind w:firstLine="720"/>
        <w:jc w:val="both"/>
        <w:rPr>
          <w:rFonts w:ascii="Times New Roman" w:hAnsi="Times New Roman" w:cs="Times New Roman"/>
          <w:sz w:val="24"/>
          <w:szCs w:val="24"/>
        </w:rPr>
      </w:pPr>
      <w:r w:rsidRPr="0039508F">
        <w:rPr>
          <w:rFonts w:ascii="Times New Roman" w:hAnsi="Times New Roman" w:cs="Times New Roman"/>
          <w:sz w:val="24"/>
          <w:szCs w:val="24"/>
        </w:rPr>
        <w:t xml:space="preserve">- </w:t>
      </w:r>
      <w:r w:rsidRPr="0039508F">
        <w:rPr>
          <w:rFonts w:ascii="Times New Roman" w:hAnsi="Times New Roman" w:cs="Times New Roman"/>
          <w:b/>
          <w:sz w:val="24"/>
          <w:szCs w:val="24"/>
        </w:rPr>
        <w:t>“Geleceğe Yönelik Sürdürülebilir ve Rekabetçi Turizm Sektörünün İnşa Edilmesine” İlişkin Konsey Sonuçları</w:t>
      </w:r>
      <w:r w:rsidRPr="0039508F">
        <w:rPr>
          <w:rFonts w:ascii="Times New Roman" w:hAnsi="Times New Roman" w:cs="Times New Roman"/>
          <w:sz w:val="24"/>
          <w:szCs w:val="24"/>
        </w:rPr>
        <w:t xml:space="preserve"> kabul edilmiştir. Turizmin AB ekonomisi bakımından önemli rolü kabul edilerek sektörün AB’nin gayrisafi katma değerinin %7’sine, istihdamın %10’una katkı sağladığı ve ağırlıklı olarak KOBİ niteliğindeki 4,6 milyon işletmeyi desteklediği belirtilmiş; bununla birlikte, çevresel, sosyal ve ekonomik sürdürülebilirlik önceliklendirilmiştir.</w:t>
      </w:r>
    </w:p>
    <w:p w14:paraId="16054672" w14:textId="77777777" w:rsidR="0039508F" w:rsidRPr="0039508F" w:rsidRDefault="0039508F" w:rsidP="0039508F">
      <w:pPr>
        <w:autoSpaceDE w:val="0"/>
        <w:autoSpaceDN w:val="0"/>
        <w:adjustRightInd w:val="0"/>
        <w:spacing w:before="100" w:after="220" w:line="240" w:lineRule="auto"/>
        <w:ind w:firstLine="720"/>
        <w:jc w:val="both"/>
        <w:rPr>
          <w:rFonts w:ascii="Times New Roman" w:hAnsi="Times New Roman" w:cs="Times New Roman"/>
          <w:sz w:val="24"/>
          <w:szCs w:val="24"/>
        </w:rPr>
      </w:pPr>
      <w:r w:rsidRPr="0039508F">
        <w:rPr>
          <w:rFonts w:ascii="Times New Roman" w:hAnsi="Times New Roman" w:cs="Times New Roman"/>
          <w:sz w:val="24"/>
          <w:szCs w:val="24"/>
        </w:rPr>
        <w:t xml:space="preserve">- Avrupa </w:t>
      </w:r>
      <w:r w:rsidRPr="0039508F">
        <w:rPr>
          <w:rFonts w:ascii="Times New Roman" w:hAnsi="Times New Roman" w:cs="Times New Roman"/>
          <w:b/>
          <w:sz w:val="24"/>
          <w:szCs w:val="24"/>
        </w:rPr>
        <w:t xml:space="preserve">kimya sanayisinin </w:t>
      </w:r>
      <w:r w:rsidRPr="0039508F">
        <w:rPr>
          <w:rFonts w:ascii="Times New Roman" w:hAnsi="Times New Roman" w:cs="Times New Roman"/>
          <w:sz w:val="24"/>
          <w:szCs w:val="24"/>
        </w:rPr>
        <w:t xml:space="preserve">karşı karşıya olduğu temel zorluklar </w:t>
      </w:r>
      <w:proofErr w:type="spellStart"/>
      <w:r w:rsidRPr="0039508F">
        <w:rPr>
          <w:rFonts w:ascii="Times New Roman" w:hAnsi="Times New Roman" w:cs="Times New Roman"/>
          <w:sz w:val="24"/>
          <w:szCs w:val="24"/>
        </w:rPr>
        <w:t>gayriresmî</w:t>
      </w:r>
      <w:proofErr w:type="spellEnd"/>
      <w:r w:rsidRPr="0039508F">
        <w:rPr>
          <w:rFonts w:ascii="Times New Roman" w:hAnsi="Times New Roman" w:cs="Times New Roman"/>
          <w:sz w:val="24"/>
          <w:szCs w:val="24"/>
        </w:rPr>
        <w:t xml:space="preserve"> olarak ele alınmıştır. Görüşmeye Avrupa Kimya Sanayi Konseyi Genel Direktörü </w:t>
      </w:r>
      <w:proofErr w:type="spellStart"/>
      <w:r w:rsidRPr="0039508F">
        <w:rPr>
          <w:rFonts w:ascii="Times New Roman" w:hAnsi="Times New Roman" w:cs="Times New Roman"/>
          <w:sz w:val="24"/>
          <w:szCs w:val="24"/>
        </w:rPr>
        <w:t>Marco</w:t>
      </w:r>
      <w:proofErr w:type="spellEnd"/>
      <w:r w:rsidRPr="0039508F">
        <w:rPr>
          <w:rFonts w:ascii="Times New Roman" w:hAnsi="Times New Roman" w:cs="Times New Roman"/>
          <w:sz w:val="24"/>
          <w:szCs w:val="24"/>
        </w:rPr>
        <w:t xml:space="preserve"> </w:t>
      </w:r>
      <w:proofErr w:type="spellStart"/>
      <w:r w:rsidRPr="0039508F">
        <w:rPr>
          <w:rFonts w:ascii="Times New Roman" w:hAnsi="Times New Roman" w:cs="Times New Roman"/>
          <w:sz w:val="24"/>
          <w:szCs w:val="24"/>
        </w:rPr>
        <w:t>Mensink</w:t>
      </w:r>
      <w:proofErr w:type="spellEnd"/>
      <w:r w:rsidRPr="0039508F">
        <w:rPr>
          <w:rFonts w:ascii="Times New Roman" w:hAnsi="Times New Roman" w:cs="Times New Roman"/>
          <w:sz w:val="24"/>
          <w:szCs w:val="24"/>
        </w:rPr>
        <w:t xml:space="preserve"> de katılmıştır. Kimya sanayisinin yüksek enerji maliyetleri, küresel rekabet baskısı, zayıf talep, yatırım ihtiyacı, sürdürülebilirlik dönüşümü ve tesis kapanışları gibi sorunlarla karşı karşıya olduğu değerlendirilmiştir.</w:t>
      </w:r>
    </w:p>
    <w:p w14:paraId="636C50E3" w14:textId="77777777" w:rsidR="0039508F" w:rsidRPr="0039508F" w:rsidRDefault="0039508F" w:rsidP="0039508F">
      <w:pPr>
        <w:autoSpaceDE w:val="0"/>
        <w:autoSpaceDN w:val="0"/>
        <w:adjustRightInd w:val="0"/>
        <w:spacing w:before="100" w:after="220" w:line="240" w:lineRule="auto"/>
        <w:ind w:firstLine="720"/>
        <w:jc w:val="both"/>
        <w:rPr>
          <w:rFonts w:ascii="Verdana" w:hAnsi="Verdana" w:cs="Times New Roman"/>
          <w:sz w:val="24"/>
          <w:szCs w:val="24"/>
        </w:rPr>
      </w:pPr>
      <w:r w:rsidRPr="0039508F">
        <w:rPr>
          <w:rFonts w:ascii="Times New Roman" w:hAnsi="Times New Roman" w:cs="Times New Roman"/>
          <w:sz w:val="24"/>
          <w:szCs w:val="24"/>
        </w:rPr>
        <w:t xml:space="preserve">- Diğer İşler” başlığı altında tamamlayıcı koruma sertifikaları paketi, Avrupa Rekabetçilik Fonu, Kritik Hammaddeler Yasası’nda </w:t>
      </w:r>
      <w:proofErr w:type="gramStart"/>
      <w:r w:rsidRPr="0039508F">
        <w:rPr>
          <w:rFonts w:ascii="Times New Roman" w:hAnsi="Times New Roman" w:cs="Times New Roman"/>
          <w:sz w:val="24"/>
          <w:szCs w:val="24"/>
        </w:rPr>
        <w:t>değişiklik  dahil</w:t>
      </w:r>
      <w:proofErr w:type="gramEnd"/>
      <w:r w:rsidRPr="0039508F">
        <w:rPr>
          <w:rFonts w:ascii="Times New Roman" w:hAnsi="Times New Roman" w:cs="Times New Roman"/>
          <w:sz w:val="24"/>
          <w:szCs w:val="24"/>
        </w:rPr>
        <w:t xml:space="preserve"> olmak üzere çeşitli dosyalarının durumu hakkında bilgi verilmiştir.</w:t>
      </w:r>
    </w:p>
    <w:p w14:paraId="4D680DA0" w14:textId="77777777" w:rsidR="0039508F" w:rsidRPr="0039508F" w:rsidRDefault="0039508F" w:rsidP="0039508F">
      <w:pPr>
        <w:autoSpaceDE w:val="0"/>
        <w:autoSpaceDN w:val="0"/>
        <w:adjustRightInd w:val="0"/>
        <w:spacing w:before="100" w:after="220" w:line="240" w:lineRule="auto"/>
        <w:ind w:firstLine="720"/>
        <w:jc w:val="both"/>
        <w:rPr>
          <w:rFonts w:ascii="Times New Roman" w:hAnsi="Times New Roman" w:cs="Times New Roman"/>
          <w:sz w:val="24"/>
          <w:szCs w:val="24"/>
        </w:rPr>
      </w:pPr>
      <w:r w:rsidRPr="0039508F">
        <w:rPr>
          <w:rFonts w:ascii="Times New Roman" w:hAnsi="Times New Roman" w:cs="Times New Roman"/>
          <w:sz w:val="24"/>
          <w:szCs w:val="24"/>
        </w:rPr>
        <w:t xml:space="preserve">Konsey toplantısının akabinde yapılan </w:t>
      </w:r>
      <w:r w:rsidRPr="0039508F">
        <w:rPr>
          <w:rFonts w:ascii="Times New Roman" w:hAnsi="Times New Roman" w:cs="Times New Roman"/>
          <w:b/>
          <w:sz w:val="24"/>
          <w:szCs w:val="24"/>
        </w:rPr>
        <w:t xml:space="preserve">basın açıklamasında GKRY Enerji, Ticaret ve Sanayi Bakanı Michael </w:t>
      </w:r>
      <w:proofErr w:type="spellStart"/>
      <w:r w:rsidRPr="0039508F">
        <w:rPr>
          <w:rFonts w:ascii="Times New Roman" w:hAnsi="Times New Roman" w:cs="Times New Roman"/>
          <w:b/>
          <w:sz w:val="24"/>
          <w:szCs w:val="24"/>
        </w:rPr>
        <w:t>Damianos</w:t>
      </w:r>
      <w:proofErr w:type="spellEnd"/>
      <w:r w:rsidRPr="0039508F">
        <w:rPr>
          <w:rFonts w:ascii="Times New Roman" w:hAnsi="Times New Roman" w:cs="Times New Roman"/>
          <w:sz w:val="24"/>
          <w:szCs w:val="24"/>
        </w:rPr>
        <w:t xml:space="preserve"> tarafından, Rekabetçilik Konseyindeki görüşmelerin Avrupa’nın rekabetçiliğinin, inovasyon kapasitesinin ve dayanıklılığının güçlendirilmesine odaklandığı; bu kapsamda, Sanayi Hızlandırma Yasası </w:t>
      </w:r>
      <w:proofErr w:type="gramStart"/>
      <w:r w:rsidRPr="0039508F">
        <w:rPr>
          <w:rFonts w:ascii="Times New Roman" w:hAnsi="Times New Roman" w:cs="Times New Roman"/>
          <w:sz w:val="24"/>
          <w:szCs w:val="24"/>
        </w:rPr>
        <w:t>Taslağının  “</w:t>
      </w:r>
      <w:proofErr w:type="gramEnd"/>
      <w:r w:rsidRPr="0039508F">
        <w:rPr>
          <w:rFonts w:ascii="Times New Roman" w:hAnsi="Times New Roman" w:cs="Times New Roman"/>
          <w:sz w:val="24"/>
          <w:szCs w:val="24"/>
        </w:rPr>
        <w:t xml:space="preserve">Tek Pazar, Tek Avrupa” vizyonu kapsamında öncelikli dosya olarak belirlendiği </w:t>
      </w:r>
      <w:proofErr w:type="gramStart"/>
      <w:r w:rsidRPr="0039508F">
        <w:rPr>
          <w:rFonts w:ascii="Times New Roman" w:hAnsi="Times New Roman" w:cs="Times New Roman"/>
          <w:sz w:val="24"/>
          <w:szCs w:val="24"/>
        </w:rPr>
        <w:t>ve  2026</w:t>
      </w:r>
      <w:proofErr w:type="gramEnd"/>
      <w:r w:rsidRPr="0039508F">
        <w:rPr>
          <w:rFonts w:ascii="Times New Roman" w:hAnsi="Times New Roman" w:cs="Times New Roman"/>
          <w:sz w:val="24"/>
          <w:szCs w:val="24"/>
        </w:rPr>
        <w:t xml:space="preserve"> yılı sonuna kadar uzlaşı sağlanmasının hedeflendiği ifade edilmiştir.</w:t>
      </w:r>
    </w:p>
    <w:p w14:paraId="2BDF81F3" w14:textId="77777777" w:rsidR="0039508F" w:rsidRPr="0039508F" w:rsidRDefault="0039508F" w:rsidP="0039508F">
      <w:pPr>
        <w:autoSpaceDE w:val="0"/>
        <w:autoSpaceDN w:val="0"/>
        <w:adjustRightInd w:val="0"/>
        <w:spacing w:before="100" w:after="220" w:line="240" w:lineRule="auto"/>
        <w:ind w:firstLine="720"/>
        <w:jc w:val="both"/>
        <w:rPr>
          <w:rFonts w:ascii="Times New Roman" w:hAnsi="Times New Roman" w:cs="Times New Roman"/>
          <w:sz w:val="24"/>
          <w:szCs w:val="24"/>
        </w:rPr>
      </w:pPr>
      <w:r w:rsidRPr="0039508F">
        <w:rPr>
          <w:rFonts w:ascii="Times New Roman" w:hAnsi="Times New Roman" w:cs="Times New Roman"/>
          <w:b/>
          <w:sz w:val="24"/>
          <w:szCs w:val="24"/>
        </w:rPr>
        <w:t xml:space="preserve">Avrupa Komisyonu İcracı Başkan Yardımcısı </w:t>
      </w:r>
      <w:proofErr w:type="spellStart"/>
      <w:r w:rsidRPr="0039508F">
        <w:rPr>
          <w:rFonts w:ascii="Times New Roman" w:hAnsi="Times New Roman" w:cs="Times New Roman"/>
          <w:b/>
          <w:sz w:val="24"/>
          <w:szCs w:val="24"/>
        </w:rPr>
        <w:t>Séjourné</w:t>
      </w:r>
      <w:proofErr w:type="spellEnd"/>
      <w:r w:rsidRPr="0039508F">
        <w:rPr>
          <w:rFonts w:ascii="Times New Roman" w:hAnsi="Times New Roman" w:cs="Times New Roman"/>
          <w:b/>
          <w:sz w:val="24"/>
          <w:szCs w:val="24"/>
        </w:rPr>
        <w:t xml:space="preserve"> ise basın açıklamasında</w:t>
      </w:r>
      <w:r w:rsidRPr="0039508F">
        <w:rPr>
          <w:rFonts w:ascii="Times New Roman" w:hAnsi="Times New Roman" w:cs="Times New Roman"/>
          <w:sz w:val="24"/>
          <w:szCs w:val="24"/>
        </w:rPr>
        <w:t xml:space="preserve"> Avrupa’nın Çin ile günlük 1 milyar Avroyu aşan ticaret açığı verdiğini ve mevcut bağımlılıkların azaltılması gerektiğini; bununla birlikte, AB’nin Çin ile ilişkilerinde “ayrışma (</w:t>
      </w:r>
      <w:proofErr w:type="spellStart"/>
      <w:r w:rsidRPr="0039508F">
        <w:rPr>
          <w:rFonts w:ascii="Times New Roman" w:hAnsi="Times New Roman" w:cs="Times New Roman"/>
          <w:sz w:val="24"/>
          <w:szCs w:val="24"/>
        </w:rPr>
        <w:t>decoupling</w:t>
      </w:r>
      <w:proofErr w:type="spellEnd"/>
      <w:r w:rsidRPr="0039508F">
        <w:rPr>
          <w:rFonts w:ascii="Times New Roman" w:hAnsi="Times New Roman" w:cs="Times New Roman"/>
          <w:sz w:val="24"/>
          <w:szCs w:val="24"/>
        </w:rPr>
        <w:t>)” değil “risk azaltımı (de-</w:t>
      </w:r>
      <w:proofErr w:type="spellStart"/>
      <w:r w:rsidRPr="0039508F">
        <w:rPr>
          <w:rFonts w:ascii="Times New Roman" w:hAnsi="Times New Roman" w:cs="Times New Roman"/>
          <w:sz w:val="24"/>
          <w:szCs w:val="24"/>
        </w:rPr>
        <w:t>risking</w:t>
      </w:r>
      <w:proofErr w:type="spellEnd"/>
      <w:r w:rsidRPr="0039508F">
        <w:rPr>
          <w:rFonts w:ascii="Times New Roman" w:hAnsi="Times New Roman" w:cs="Times New Roman"/>
          <w:sz w:val="24"/>
          <w:szCs w:val="24"/>
        </w:rPr>
        <w:t xml:space="preserve">)” yaklaşımını benimsediğini; AB’nin ekonomik ve stratejik bağımlılıklarını azaltmasının güvenlik ve ekonomik istikrar bakımından gerekli olduğunu vurgulamıştır. AB’nin 450 milyon tüketiciden oluşan büyük bir pazar olduğuna dikkat çeken </w:t>
      </w:r>
      <w:proofErr w:type="spellStart"/>
      <w:r w:rsidRPr="0039508F">
        <w:rPr>
          <w:rFonts w:ascii="Times New Roman" w:hAnsi="Times New Roman" w:cs="Times New Roman"/>
          <w:sz w:val="24"/>
          <w:szCs w:val="24"/>
        </w:rPr>
        <w:t>Séjourné</w:t>
      </w:r>
      <w:proofErr w:type="spellEnd"/>
      <w:r w:rsidRPr="0039508F">
        <w:rPr>
          <w:rFonts w:ascii="Times New Roman" w:hAnsi="Times New Roman" w:cs="Times New Roman"/>
          <w:sz w:val="24"/>
          <w:szCs w:val="24"/>
        </w:rPr>
        <w:t>, AB’nin Çin ile ilişkilerinde kendi ekonomik ağırlığına dayanan bağımsız bir yaklaşım geliştirmesi gerektiğini; ayrıca, temiz teknoloji alanında gerekli tedbirlerin alınmaması halinde Avrupa’nın gelecekte Çin’e yeni bağımlılıklar geliştirebileceğini ifade etmiştir.</w:t>
      </w:r>
    </w:p>
    <w:p w14:paraId="3889246A" w14:textId="697775F3" w:rsidR="0039508F" w:rsidRPr="0039508F" w:rsidRDefault="0039508F" w:rsidP="0039508F">
      <w:pPr>
        <w:autoSpaceDE w:val="0"/>
        <w:autoSpaceDN w:val="0"/>
        <w:adjustRightInd w:val="0"/>
        <w:spacing w:before="100" w:after="220" w:line="240" w:lineRule="auto"/>
        <w:ind w:left="360"/>
        <w:jc w:val="both"/>
        <w:rPr>
          <w:rFonts w:ascii="Times New Roman" w:hAnsi="Times New Roman" w:cs="Times New Roman"/>
          <w:sz w:val="24"/>
          <w:szCs w:val="24"/>
        </w:rPr>
      </w:pPr>
    </w:p>
    <w:p w14:paraId="3FF6845E" w14:textId="28CA06E6" w:rsidR="008367DE" w:rsidRPr="008367DE" w:rsidRDefault="008367DE" w:rsidP="008367DE">
      <w:pPr>
        <w:spacing w:after="0" w:line="240" w:lineRule="auto"/>
        <w:jc w:val="both"/>
        <w:rPr>
          <w:rFonts w:ascii="Times New Roman" w:hAnsi="Times New Roman" w:cs="Times New Roman"/>
          <w:sz w:val="24"/>
          <w:szCs w:val="24"/>
        </w:rPr>
      </w:pPr>
    </w:p>
    <w:sectPr w:rsidR="008367DE" w:rsidRPr="008367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B613" w14:textId="77777777" w:rsidR="00F35AF0" w:rsidRDefault="00F35AF0" w:rsidP="009F1A8D">
      <w:pPr>
        <w:spacing w:after="0" w:line="240" w:lineRule="auto"/>
      </w:pPr>
      <w:r>
        <w:separator/>
      </w:r>
    </w:p>
  </w:endnote>
  <w:endnote w:type="continuationSeparator" w:id="0">
    <w:p w14:paraId="38EBD366" w14:textId="77777777" w:rsidR="00F35AF0" w:rsidRDefault="00F35AF0" w:rsidP="009F1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swiss"/>
    <w:notTrueType/>
    <w:pitch w:val="default"/>
    <w:sig w:usb0="00000007" w:usb1="00000000" w:usb2="00000000" w:usb3="00000000" w:csb0="00000011"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imesNewRomanPS-BoldMT">
    <w:altName w:val="Times New Roman"/>
    <w:panose1 w:val="00000000000000000000"/>
    <w:charset w:val="A2"/>
    <w:family w:val="auto"/>
    <w:notTrueType/>
    <w:pitch w:val="default"/>
    <w:sig w:usb0="00000007" w:usb1="00000000" w:usb2="00000000" w:usb3="00000000" w:csb0="0000001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13D8E" w14:textId="77777777" w:rsidR="00F35AF0" w:rsidRDefault="00F35AF0" w:rsidP="009F1A8D">
      <w:pPr>
        <w:spacing w:after="0" w:line="240" w:lineRule="auto"/>
      </w:pPr>
      <w:r>
        <w:separator/>
      </w:r>
    </w:p>
  </w:footnote>
  <w:footnote w:type="continuationSeparator" w:id="0">
    <w:p w14:paraId="14F3987B" w14:textId="77777777" w:rsidR="00F35AF0" w:rsidRDefault="00F35AF0" w:rsidP="009F1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D3D84"/>
    <w:multiLevelType w:val="hybridMultilevel"/>
    <w:tmpl w:val="1DB06A1E"/>
    <w:lvl w:ilvl="0" w:tplc="95764ADA">
      <w:start w:val="28"/>
      <w:numFmt w:val="bullet"/>
      <w:lvlText w:val="-"/>
      <w:lvlJc w:val="left"/>
      <w:pPr>
        <w:ind w:left="720" w:hanging="360"/>
      </w:pPr>
      <w:rPr>
        <w:rFonts w:ascii="TimesNewRomanPSMT" w:eastAsiaTheme="minorHAnsi" w:hAnsi="TimesNewRomanPSMT" w:cs="TimesNewRomanPSM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DE44121"/>
    <w:multiLevelType w:val="hybridMultilevel"/>
    <w:tmpl w:val="071C2766"/>
    <w:lvl w:ilvl="0" w:tplc="CCB4C77A">
      <w:start w:val="2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10817746">
    <w:abstractNumId w:val="1"/>
  </w:num>
  <w:num w:numId="2" w16cid:durableId="934246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F7"/>
    <w:rsid w:val="00011B31"/>
    <w:rsid w:val="0017284A"/>
    <w:rsid w:val="0039508F"/>
    <w:rsid w:val="003F7F45"/>
    <w:rsid w:val="004711D0"/>
    <w:rsid w:val="0051031D"/>
    <w:rsid w:val="00515D8C"/>
    <w:rsid w:val="00583FC1"/>
    <w:rsid w:val="0060006F"/>
    <w:rsid w:val="00740058"/>
    <w:rsid w:val="007B7191"/>
    <w:rsid w:val="007C257C"/>
    <w:rsid w:val="008066EC"/>
    <w:rsid w:val="00810099"/>
    <w:rsid w:val="008367DE"/>
    <w:rsid w:val="008D005F"/>
    <w:rsid w:val="008F13BD"/>
    <w:rsid w:val="009979D9"/>
    <w:rsid w:val="009F1A8D"/>
    <w:rsid w:val="00A463F7"/>
    <w:rsid w:val="00AA6A4F"/>
    <w:rsid w:val="00AB3DE0"/>
    <w:rsid w:val="00AB71F9"/>
    <w:rsid w:val="00B25FD7"/>
    <w:rsid w:val="00C6206D"/>
    <w:rsid w:val="00D17201"/>
    <w:rsid w:val="00D8274C"/>
    <w:rsid w:val="00DD4B9E"/>
    <w:rsid w:val="00E769BE"/>
    <w:rsid w:val="00EE77C1"/>
    <w:rsid w:val="00F35AF0"/>
    <w:rsid w:val="00F917FD"/>
    <w:rsid w:val="00FC6E32"/>
    <w:rsid w:val="00FF2EE6"/>
    <w:rsid w:val="00FF464F"/>
    <w:rsid w:val="00FF54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7FD06"/>
  <w15:chartTrackingRefBased/>
  <w15:docId w15:val="{B7110D95-74E4-47C2-BBF8-CBF65BB3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6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35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1901</Words>
  <Characters>10842</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berrak tasyurek</dc:creator>
  <cp:keywords/>
  <dc:description/>
  <cp:lastModifiedBy>OSBUK</cp:lastModifiedBy>
  <cp:revision>2</cp:revision>
  <dcterms:created xsi:type="dcterms:W3CDTF">2026-06-24T08:57:00Z</dcterms:created>
  <dcterms:modified xsi:type="dcterms:W3CDTF">2026-06-24T08:57:00Z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user=14776588006</vt:lpwstr>
  </property>
  <property fmtid="{D5CDD505-2E9C-101B-9397-08002B2CF9AE}" pid="4" name="geodilabeltime">
    <vt:lpwstr>datetime=2026-06-02T08:10:54.996Z</vt:lpwstr>
  </property>
</Properties>
</file>