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8E98" w14:textId="6E160D5C" w:rsidR="003F3AFA" w:rsidRDefault="00DC4093"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 xml:space="preserve">AB Komisyonunun </w:t>
      </w:r>
      <w:r w:rsidR="003F3AFA">
        <w:rPr>
          <w:rFonts w:ascii="TimesNewRomanPSMT" w:hAnsi="TimesNewRomanPSMT" w:cs="TimesNewRomanPSMT"/>
          <w:kern w:val="0"/>
        </w:rPr>
        <w:t>Gübre Eylem Planı</w:t>
      </w:r>
      <w:r>
        <w:rPr>
          <w:rFonts w:ascii="TimesNewRomanPSMT" w:hAnsi="TimesNewRomanPSMT" w:cs="TimesNewRomanPSMT"/>
          <w:kern w:val="0"/>
        </w:rPr>
        <w:t xml:space="preserve"> Açıklama</w:t>
      </w:r>
      <w:r w:rsidR="003F3AFA">
        <w:rPr>
          <w:rFonts w:ascii="TimesNewRomanPSMT" w:hAnsi="TimesNewRomanPSMT" w:cs="TimesNewRomanPSMT"/>
          <w:kern w:val="0"/>
        </w:rPr>
        <w:t xml:space="preserve"> Özeti</w:t>
      </w:r>
    </w:p>
    <w:p w14:paraId="3C342E43" w14:textId="77777777" w:rsidR="003F3AFA" w:rsidRDefault="003F3AFA" w:rsidP="00374040">
      <w:pPr>
        <w:autoSpaceDE w:val="0"/>
        <w:autoSpaceDN w:val="0"/>
        <w:adjustRightInd w:val="0"/>
        <w:spacing w:after="0" w:line="240" w:lineRule="auto"/>
        <w:jc w:val="both"/>
        <w:rPr>
          <w:rFonts w:ascii="TimesNewRomanPSMT" w:hAnsi="TimesNewRomanPSMT" w:cs="TimesNewRomanPSMT"/>
          <w:kern w:val="0"/>
        </w:rPr>
      </w:pPr>
    </w:p>
    <w:p w14:paraId="17373774" w14:textId="68B5B903"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 xml:space="preserve">19 Mayıs 2026 tarihinde “Gübre Eylem </w:t>
      </w:r>
      <w:proofErr w:type="spellStart"/>
      <w:r>
        <w:rPr>
          <w:rFonts w:ascii="TimesNewRomanPSMT" w:hAnsi="TimesNewRomanPSMT" w:cs="TimesNewRomanPSMT"/>
          <w:kern w:val="0"/>
        </w:rPr>
        <w:t>Planı”nı</w:t>
      </w:r>
      <w:proofErr w:type="spellEnd"/>
      <w:r>
        <w:rPr>
          <w:rFonts w:ascii="TimesNewRomanPSMT" w:hAnsi="TimesNewRomanPSMT" w:cs="TimesNewRomanPSMT"/>
          <w:kern w:val="0"/>
        </w:rPr>
        <w:t xml:space="preserve"> kabul etmiştir.</w:t>
      </w:r>
    </w:p>
    <w:p w14:paraId="58314A7C"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6EAC4F3A" w14:textId="564D3FD1"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Gübre Eylem Planı, gübre üreticileri ile çiftçiler arasında bir ortaklık mekanizması oluşturmayı hedeflemekte; AB ve ulusal düzeyde tüm paydaşların kısa vadede gübreye erişilebilirlik ve arz güvenliğini destekleyecek önlemler için harekete geçirilmesini öngörmektedir. Plan aynı zamanda, yerli üretimin desteklenmesi, besin maddelerinin daha verimli ve sürdürülebilir kullanımının teşvik edilmesi ile düşük karbonlu ve döngüsel gübrelere geçişin hızlandırılmasına yönelik orta ve uzun vadeli bir yaklaşım çerçevesinde şekillendirilmiştir.</w:t>
      </w:r>
    </w:p>
    <w:p w14:paraId="52E6D0B4"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0A4F806C" w14:textId="2BCAFEC3"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Gübre Eylem Planı üç temel ve birbirini tamamlayan hedef üzerine kurulmuştur. Söz konusu hedefler, kısa vadede gübrelerin erişilebilir ve uygun fiyatlı olması; yerli üretimin güçlendirilmesi ve tedarik kaynaklarının çeşitlendirerek AB’nin stratejik özerkliğinin ve dayanıklılığının artırılması ve gübre tedarik zinciri boyunca şeffaflığın ve diyaloğun güçlendirilmesi olarak sıralanmaktadır.</w:t>
      </w:r>
    </w:p>
    <w:p w14:paraId="751AB565"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13AE184C" w14:textId="52C1CBB0"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a) Çiftçilere Destek ve Gübreye Erişimin Kolaylaştırılması: Avrupa Komisyonu, yüksek gübre maliyetlerinden etkilenen çiftçilere yönelik olarak AB Ortak Tarım Politikası kapsamındaki mevcut araçlar üzerinden olağanüstü seviyede destek sağlayacaktır. Söz konusu mali paket, yaz aylarından önce sunularak çiftçilere bir sonraki üretim dönemi öncesinde likidite desteği sağlamayı hedeflemektedir.</w:t>
      </w:r>
    </w:p>
    <w:p w14:paraId="4F771E7A"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044CBDEE" w14:textId="5B2E18F3"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İlaveten, kısa vadeli ek destek kapsamında Komisyon, Üye Devletlerin mevcut Ortak Tarım Politikası Stratejik Planları kapsamındaki destekleri tam kapasiteyle kullanabilmesine imkân tanıyacak bir mevzuat paketi hazırlayacaktır.</w:t>
      </w:r>
    </w:p>
    <w:p w14:paraId="578CA7CE"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394DA02C" w14:textId="585D069B"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Komisyon ayrıca, daha etkin besin yönetimi uygulamalarını, besin verimliliği yüksek tarım yöntemlerinin yaygınlaştırılmasını, Ortak Tarım Politikası kapsamında Çiftlik Danışmanlık Hizmetlerinin güçlendirilmesini destekleyecektir.</w:t>
      </w:r>
    </w:p>
    <w:p w14:paraId="5B38B67E"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1D5B8B4A" w14:textId="6DEA3734" w:rsidR="00E46D0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 xml:space="preserve">b) Yerli Üretimin Güçlendirilmesi, Döngüsel Ekonomi ve </w:t>
      </w:r>
      <w:proofErr w:type="spellStart"/>
      <w:r>
        <w:rPr>
          <w:rFonts w:ascii="TimesNewRomanPSMT" w:hAnsi="TimesNewRomanPSMT" w:cs="TimesNewRomanPSMT"/>
          <w:kern w:val="0"/>
        </w:rPr>
        <w:t>Karbonsuzlaşma</w:t>
      </w:r>
      <w:proofErr w:type="spellEnd"/>
      <w:r>
        <w:rPr>
          <w:rFonts w:ascii="TimesNewRomanPSMT" w:hAnsi="TimesNewRomanPSMT" w:cs="TimesNewRomanPSMT"/>
          <w:kern w:val="0"/>
        </w:rPr>
        <w:t>: Komisyon, Avrupa’daki gübre sanayisinin sanayisizleşmesini önlemek, istikrarlı arzı güvence altına almak ve ithalata bağımlılığı azaltmak amacıyla yerli üretimi destekleyecektir.</w:t>
      </w:r>
    </w:p>
    <w:p w14:paraId="48433843"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78A5FB68" w14:textId="3B073C21"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Döngüselliğin artırılması ve emisyonların azaltılması amacıyla, organik ve biyolojik bazlı gübreler ile geleneksel mineral gübrelere alternatif ürünlerin kullanımının artırılması teşvik edilecektir.</w:t>
      </w:r>
    </w:p>
    <w:p w14:paraId="0A18622C"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3C006D1F" w14:textId="5A516B12"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 xml:space="preserve">Emisyon Ticaret Sistemi (ETS) gözden geçirme süreci kapsamında, gübre sektörüne sağlanabilecek ilave esneklikler ile üretimin </w:t>
      </w:r>
      <w:proofErr w:type="spellStart"/>
      <w:r>
        <w:rPr>
          <w:rFonts w:ascii="TimesNewRomanPSMT" w:hAnsi="TimesNewRomanPSMT" w:cs="TimesNewRomanPSMT"/>
          <w:kern w:val="0"/>
        </w:rPr>
        <w:t>karbonsuzlaştırılması</w:t>
      </w:r>
      <w:proofErr w:type="spellEnd"/>
      <w:r>
        <w:rPr>
          <w:rFonts w:ascii="TimesNewRomanPSMT" w:hAnsi="TimesNewRomanPSMT" w:cs="TimesNewRomanPSMT"/>
          <w:kern w:val="0"/>
        </w:rPr>
        <w:t>, biyolojik bazlı ve döngüsel</w:t>
      </w:r>
    </w:p>
    <w:p w14:paraId="4603B26C" w14:textId="1D01910C" w:rsidR="00374040" w:rsidRDefault="00374040" w:rsidP="00374040">
      <w:pPr>
        <w:autoSpaceDE w:val="0"/>
        <w:autoSpaceDN w:val="0"/>
        <w:adjustRightInd w:val="0"/>
        <w:spacing w:after="0" w:line="240" w:lineRule="auto"/>
        <w:jc w:val="both"/>
        <w:rPr>
          <w:rFonts w:ascii="TimesNewRomanPSMT" w:hAnsi="TimesNewRomanPSMT" w:cs="TimesNewRomanPSMT"/>
          <w:kern w:val="0"/>
        </w:rPr>
      </w:pPr>
      <w:proofErr w:type="gramStart"/>
      <w:r>
        <w:rPr>
          <w:rFonts w:ascii="TimesNewRomanPSMT" w:hAnsi="TimesNewRomanPSMT" w:cs="TimesNewRomanPSMT"/>
          <w:kern w:val="0"/>
        </w:rPr>
        <w:t>gübre</w:t>
      </w:r>
      <w:proofErr w:type="gramEnd"/>
      <w:r>
        <w:rPr>
          <w:rFonts w:ascii="TimesNewRomanPSMT" w:hAnsi="TimesNewRomanPSMT" w:cs="TimesNewRomanPSMT"/>
          <w:kern w:val="0"/>
        </w:rPr>
        <w:t xml:space="preserve"> üretiminin artırılması, Avrupa’da üretilen gübrelerin erişilebilir ve uygun fiyatlı olmasının sağlanması şartlarına bağlanması değerlendirilecektir.</w:t>
      </w:r>
    </w:p>
    <w:p w14:paraId="33D22812"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73323014" w14:textId="29A95A1B"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Komisyon, ayrıca, karbon çiftçiliği ve karbon giderimi faaliyetlerine yönelik teşvikleri değerlendirirken sürdürülebilir yerli gübrelere olan talebi artırmayı, bürokratik yükleri ve piyasa engellerini azaltmayı hedeflemektedir. Atık Çerçeve Direktifi kapsamında hayvansal ve</w:t>
      </w:r>
    </w:p>
    <w:p w14:paraId="6989C82D" w14:textId="4A22CF22" w:rsidR="00374040" w:rsidRDefault="00374040" w:rsidP="00374040">
      <w:pPr>
        <w:autoSpaceDE w:val="0"/>
        <w:autoSpaceDN w:val="0"/>
        <w:adjustRightInd w:val="0"/>
        <w:spacing w:after="0" w:line="240" w:lineRule="auto"/>
        <w:jc w:val="both"/>
        <w:rPr>
          <w:rFonts w:ascii="TimesNewRomanPSMT" w:hAnsi="TimesNewRomanPSMT" w:cs="TimesNewRomanPSMT"/>
          <w:kern w:val="0"/>
        </w:rPr>
      </w:pPr>
      <w:proofErr w:type="gramStart"/>
      <w:r>
        <w:rPr>
          <w:rFonts w:ascii="TimesNewRomanPSMT" w:hAnsi="TimesNewRomanPSMT" w:cs="TimesNewRomanPSMT"/>
          <w:kern w:val="0"/>
        </w:rPr>
        <w:t>diğer</w:t>
      </w:r>
      <w:proofErr w:type="gramEnd"/>
      <w:r>
        <w:rPr>
          <w:rFonts w:ascii="TimesNewRomanPSMT" w:hAnsi="TimesNewRomanPSMT" w:cs="TimesNewRomanPSMT"/>
          <w:kern w:val="0"/>
        </w:rPr>
        <w:t xml:space="preserve"> yan ürünlerin yönetiminin sadeleştirilmesi incelenecek; biyogaz ve </w:t>
      </w:r>
      <w:proofErr w:type="spellStart"/>
      <w:r>
        <w:rPr>
          <w:rFonts w:ascii="TimesNewRomanPSMT" w:hAnsi="TimesNewRomanPSMT" w:cs="TimesNewRomanPSMT"/>
          <w:kern w:val="0"/>
        </w:rPr>
        <w:t>biyometan</w:t>
      </w:r>
      <w:proofErr w:type="spellEnd"/>
      <w:r>
        <w:rPr>
          <w:rFonts w:ascii="TimesNewRomanPSMT" w:hAnsi="TimesNewRomanPSMT" w:cs="TimesNewRomanPSMT"/>
          <w:kern w:val="0"/>
        </w:rPr>
        <w:t xml:space="preserve"> üretimi, atık su altyapısı ile besin geri kazanımı projeleri başta olmak üzere yeşil inovasyon ve modernizasyon yatırımları mevcut AB fonlarıyla desteklenecektir.</w:t>
      </w:r>
    </w:p>
    <w:p w14:paraId="5F9EFD15" w14:textId="7652B130"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lastRenderedPageBreak/>
        <w:t xml:space="preserve">c) Piyasa Şeffaflığı, Hazırlık Kapasitesi ve Paydaş Diyaloğu: Komisyon, politika yapıcılar ile sektör paydaşları arasında daha güçlü koordinasyon sağlamak amacıyla “AB Gübre Değer Zinciri </w:t>
      </w:r>
      <w:proofErr w:type="spellStart"/>
      <w:r>
        <w:rPr>
          <w:rFonts w:ascii="TimesNewRomanPSMT" w:hAnsi="TimesNewRomanPSMT" w:cs="TimesNewRomanPSMT"/>
          <w:kern w:val="0"/>
        </w:rPr>
        <w:t>Ortaklığı”nı</w:t>
      </w:r>
      <w:proofErr w:type="spellEnd"/>
      <w:r>
        <w:rPr>
          <w:rFonts w:ascii="TimesNewRomanPSMT" w:hAnsi="TimesNewRomanPSMT" w:cs="TimesNewRomanPSMT"/>
          <w:kern w:val="0"/>
        </w:rPr>
        <w:t xml:space="preserve"> başlatacaktır. Bu yapı kapsamında gübre üreticileri, çiftçiler ve Üye Devlet temsilcileri bir araya getirilecek; önümüzdeki aylarda düzenlenecek ilk politika diyaloğunda gübre arzı, üretimi, pazarlaması ve kullanımına ilişkin sorunlara yönelik ortak çözümler geliştirilmesi hedeflenecektir.</w:t>
      </w:r>
    </w:p>
    <w:p w14:paraId="73C58676"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370D7944" w14:textId="50C1DB8F"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Komisyon ayrıca gübre piyasasına ilişkin piyasa izleme mekanizmalarını ve erken uyarı kapasitesini güçlendirecek, güncel verilerin düzenli toplanmasına yönelik bir çerçeve oluşturacaktır. Bu kapsamda, Sınırda Karbon Düzenleme Mekanizması (SKDM) ile ETS maliyetlerinin çiftçilerin ödediği gübre fiyatlarına ve nihayetinde gıda fiyatlarına etkisini değerlendiren bir rapor hazırlanacaktır.</w:t>
      </w:r>
    </w:p>
    <w:p w14:paraId="7A5A460D"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3A12AE03" w14:textId="269AC0EC"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Hazırlık kapasitesinin artırılması amacıyla stratejik stoklama, mevsimsel veya asgari stok mekanizmaları ile ortak tedarik yöntemleri gibi seçenekler değerlendirilecektir. Ayrıca uluslararası iş birlikleri yoluyla gübre arzının çeşitlendirilmesi, piyasa şeffaflığının artırılması</w:t>
      </w:r>
    </w:p>
    <w:p w14:paraId="79AA8A7E"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roofErr w:type="gramStart"/>
      <w:r>
        <w:rPr>
          <w:rFonts w:ascii="TimesNewRomanPSMT" w:hAnsi="TimesNewRomanPSMT" w:cs="TimesNewRomanPSMT"/>
          <w:kern w:val="0"/>
        </w:rPr>
        <w:t>ve</w:t>
      </w:r>
      <w:proofErr w:type="gramEnd"/>
      <w:r>
        <w:rPr>
          <w:rFonts w:ascii="TimesNewRomanPSMT" w:hAnsi="TimesNewRomanPSMT" w:cs="TimesNewRomanPSMT"/>
          <w:kern w:val="0"/>
        </w:rPr>
        <w:t xml:space="preserve"> ortak yatırım fırsatlarının geliştirilmesi hedeflenmektedir.</w:t>
      </w:r>
    </w:p>
    <w:p w14:paraId="71A1A4A0"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3FB25729" w14:textId="62A83AAD"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Bu doğrultuda, AB Gübre Eylem Planı’nda görülen yaklaşımın, AB’nin son dönemde sanayi ve tedarik politikalarının odağında yer alan yerli üretimin güçlendirilmesi, tedarik kaynaklarının çeşitlendirilmesi ve dış şoklara karşı dayanıklılığın artırılması hedefleriyle uyumlu olduğu anlaşılmaktadır. Bu çerçevede, gübre sektöründe dışa bağımlılığın azaltılması,</w:t>
      </w:r>
    </w:p>
    <w:p w14:paraId="6DE9D911" w14:textId="55B571A7"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AB içindeki üretim kapasitesinin güçlendirilmesi ve daha sürdürülebilir üretim modellerinin teşvik edilmesi amaçlanmaktadır. Ayrıca, fosil yakıt girdilerine bağımlılığı azaltacak düşük karbonlu, döngüsel, geri dönüştürülmüş ve biyolojik bazlı besin kaynaklarına dayanan alternatif</w:t>
      </w:r>
    </w:p>
    <w:p w14:paraId="3F3955D7"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roofErr w:type="gramStart"/>
      <w:r>
        <w:rPr>
          <w:rFonts w:ascii="TimesNewRomanPSMT" w:hAnsi="TimesNewRomanPSMT" w:cs="TimesNewRomanPSMT"/>
          <w:kern w:val="0"/>
        </w:rPr>
        <w:t>çözümlerin</w:t>
      </w:r>
      <w:proofErr w:type="gramEnd"/>
      <w:r>
        <w:rPr>
          <w:rFonts w:ascii="TimesNewRomanPSMT" w:hAnsi="TimesNewRomanPSMT" w:cs="TimesNewRomanPSMT"/>
          <w:kern w:val="0"/>
        </w:rPr>
        <w:t xml:space="preserve"> yaygınlaştırılması öngörülmektedir.</w:t>
      </w:r>
    </w:p>
    <w:p w14:paraId="29D6B9EE" w14:textId="77777777" w:rsidR="00374040" w:rsidRDefault="00374040" w:rsidP="00374040">
      <w:pPr>
        <w:autoSpaceDE w:val="0"/>
        <w:autoSpaceDN w:val="0"/>
        <w:adjustRightInd w:val="0"/>
        <w:spacing w:after="0" w:line="240" w:lineRule="auto"/>
        <w:jc w:val="both"/>
        <w:rPr>
          <w:rFonts w:ascii="TimesNewRomanPSMT" w:hAnsi="TimesNewRomanPSMT" w:cs="TimesNewRomanPSMT"/>
          <w:kern w:val="0"/>
        </w:rPr>
      </w:pPr>
    </w:p>
    <w:p w14:paraId="24FBB755" w14:textId="1368F415" w:rsidR="00374040" w:rsidRDefault="00374040" w:rsidP="00374040">
      <w:pPr>
        <w:autoSpaceDE w:val="0"/>
        <w:autoSpaceDN w:val="0"/>
        <w:adjustRightInd w:val="0"/>
        <w:spacing w:after="0" w:line="240" w:lineRule="auto"/>
        <w:jc w:val="both"/>
        <w:rPr>
          <w:rFonts w:ascii="TimesNewRomanPSMT" w:hAnsi="TimesNewRomanPSMT" w:cs="TimesNewRomanPSMT"/>
          <w:kern w:val="0"/>
        </w:rPr>
      </w:pPr>
      <w:r>
        <w:rPr>
          <w:rFonts w:ascii="TimesNewRomanPSMT" w:hAnsi="TimesNewRomanPSMT" w:cs="TimesNewRomanPSMT"/>
          <w:kern w:val="0"/>
        </w:rPr>
        <w:t>Bu çerçevede, konuya ilişkin Komisyon açıklaması ile ilgili belgelere aşağıdaki bağlantıdan ulaşılması mümkündür:</w:t>
      </w:r>
    </w:p>
    <w:p w14:paraId="0C97B130" w14:textId="77777777" w:rsidR="00984C8D" w:rsidRDefault="00984C8D" w:rsidP="00374040">
      <w:pPr>
        <w:autoSpaceDE w:val="0"/>
        <w:autoSpaceDN w:val="0"/>
        <w:adjustRightInd w:val="0"/>
        <w:spacing w:after="0" w:line="240" w:lineRule="auto"/>
        <w:jc w:val="both"/>
        <w:rPr>
          <w:rFonts w:ascii="TimesNewRomanPSMT" w:hAnsi="TimesNewRomanPSMT" w:cs="TimesNewRomanPSMT"/>
          <w:kern w:val="0"/>
        </w:rPr>
      </w:pPr>
    </w:p>
    <w:p w14:paraId="57981231" w14:textId="77777777" w:rsidR="00984C8D" w:rsidRDefault="00984C8D" w:rsidP="00374040">
      <w:pPr>
        <w:autoSpaceDE w:val="0"/>
        <w:autoSpaceDN w:val="0"/>
        <w:adjustRightInd w:val="0"/>
        <w:spacing w:after="0" w:line="240" w:lineRule="auto"/>
        <w:jc w:val="both"/>
        <w:rPr>
          <w:rFonts w:ascii="TimesNewRomanPSMT" w:hAnsi="TimesNewRomanPSMT" w:cs="TimesNewRomanPSMT"/>
          <w:kern w:val="0"/>
        </w:rPr>
      </w:pPr>
    </w:p>
    <w:p w14:paraId="02E2A69D" w14:textId="16D720FB" w:rsidR="003F3AFA" w:rsidRPr="003F3AFA" w:rsidRDefault="003F3AFA" w:rsidP="003F3AFA">
      <w:pPr>
        <w:autoSpaceDE w:val="0"/>
        <w:autoSpaceDN w:val="0"/>
        <w:adjustRightInd w:val="0"/>
        <w:spacing w:before="100" w:after="100" w:line="240" w:lineRule="auto"/>
        <w:jc w:val="both"/>
        <w:rPr>
          <w:rFonts w:ascii="Times New Roman" w:hAnsi="Times New Roman" w:cs="Times New Roman"/>
          <w:kern w:val="0"/>
        </w:rPr>
      </w:pPr>
      <w:r>
        <w:rPr>
          <w:rFonts w:ascii="TimesNewRomanPSMT" w:hAnsi="TimesNewRomanPSMT" w:cs="TimesNewRomanPSMT"/>
          <w:color w:val="0563C2"/>
          <w:kern w:val="0"/>
        </w:rPr>
        <w:t>https://ec.europa.eu/commission/presscorner/detail/en/ip_26_1099</w:t>
      </w:r>
      <w:r w:rsidRPr="003F3AFA">
        <w:rPr>
          <w:rFonts w:ascii="Times New Roman" w:hAnsi="Times New Roman" w:cs="Times New Roman"/>
          <w:kern w:val="0"/>
        </w:rPr>
        <w:t xml:space="preserve"> </w:t>
      </w:r>
    </w:p>
    <w:p w14:paraId="576C0DFA" w14:textId="77777777" w:rsidR="003F3AFA" w:rsidRPr="003F3AFA" w:rsidRDefault="003F3AFA" w:rsidP="003F3AFA">
      <w:pPr>
        <w:autoSpaceDE w:val="0"/>
        <w:autoSpaceDN w:val="0"/>
        <w:adjustRightInd w:val="0"/>
        <w:spacing w:after="0" w:line="240" w:lineRule="auto"/>
        <w:jc w:val="both"/>
        <w:rPr>
          <w:rFonts w:ascii="Arial" w:hAnsi="Arial" w:cs="Times New Roman"/>
          <w:kern w:val="0"/>
        </w:rPr>
      </w:pPr>
    </w:p>
    <w:p w14:paraId="676109E2" w14:textId="77777777" w:rsidR="003F3AFA" w:rsidRPr="003F3AFA" w:rsidRDefault="003F3AFA" w:rsidP="003F3AFA">
      <w:pPr>
        <w:autoSpaceDE w:val="0"/>
        <w:autoSpaceDN w:val="0"/>
        <w:adjustRightInd w:val="0"/>
        <w:spacing w:after="180" w:line="276" w:lineRule="auto"/>
        <w:rPr>
          <w:rFonts w:ascii="Verdana" w:hAnsi="Verdana" w:cs="Times New Roman"/>
          <w:kern w:val="0"/>
        </w:rPr>
      </w:pPr>
    </w:p>
    <w:p w14:paraId="5F30FF09" w14:textId="77777777" w:rsidR="00984C8D" w:rsidRPr="00342361" w:rsidRDefault="00984C8D" w:rsidP="00342361">
      <w:pPr>
        <w:autoSpaceDE w:val="0"/>
        <w:autoSpaceDN w:val="0"/>
        <w:adjustRightInd w:val="0"/>
        <w:spacing w:after="0" w:line="240" w:lineRule="auto"/>
        <w:jc w:val="both"/>
      </w:pPr>
    </w:p>
    <w:sectPr w:rsidR="00984C8D" w:rsidRPr="003423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1A05" w14:textId="77777777" w:rsidR="00056CF4" w:rsidRDefault="00056CF4" w:rsidP="003F3AFA">
      <w:pPr>
        <w:spacing w:after="0" w:line="240" w:lineRule="auto"/>
      </w:pPr>
      <w:r>
        <w:separator/>
      </w:r>
    </w:p>
  </w:endnote>
  <w:endnote w:type="continuationSeparator" w:id="0">
    <w:p w14:paraId="3A401248" w14:textId="77777777" w:rsidR="00056CF4" w:rsidRDefault="00056CF4" w:rsidP="003F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7" w:usb1="00000000" w:usb2="00000000" w:usb3="00000000" w:csb0="000000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537E6" w14:textId="77777777" w:rsidR="00056CF4" w:rsidRDefault="00056CF4" w:rsidP="003F3AFA">
      <w:pPr>
        <w:spacing w:after="0" w:line="240" w:lineRule="auto"/>
      </w:pPr>
      <w:r>
        <w:separator/>
      </w:r>
    </w:p>
  </w:footnote>
  <w:footnote w:type="continuationSeparator" w:id="0">
    <w:p w14:paraId="65DE1504" w14:textId="77777777" w:rsidR="00056CF4" w:rsidRDefault="00056CF4" w:rsidP="003F3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FFFFFFFF"/>
    <w:lvl w:ilvl="0" w:tplc="FFFFFFFF">
      <w:start w:val="1"/>
      <w:numFmt w:val="bullet"/>
      <w:lvlText w:val=""/>
      <w:lvlJc w:val="left"/>
      <w:pPr>
        <w:ind w:left="720" w:hanging="360"/>
      </w:pPr>
      <w:rPr>
        <w:rFonts w:ascii="Symbol" w:hAnsi="Symbol"/>
        <w:b w:val="0"/>
        <w:i w:val="0"/>
        <w:strike w:val="0"/>
        <w:sz w:val="20"/>
        <w:u w:val="none"/>
      </w:rPr>
    </w:lvl>
    <w:lvl w:ilvl="1" w:tplc="FFFFFFFF">
      <w:start w:val="1"/>
      <w:numFmt w:val="bullet"/>
      <w:lvlText w:val="o"/>
      <w:lvlJc w:val="left"/>
      <w:pPr>
        <w:ind w:left="1440" w:hanging="360"/>
      </w:pPr>
      <w:rPr>
        <w:rFonts w:ascii="Courier New" w:hAnsi="Courier New"/>
        <w:b w:val="0"/>
        <w:i w:val="0"/>
        <w:strike w:val="0"/>
        <w:sz w:val="20"/>
        <w:u w:val="none"/>
      </w:rPr>
    </w:lvl>
    <w:lvl w:ilvl="2" w:tplc="FFFFFFFF">
      <w:start w:val="1"/>
      <w:numFmt w:val="bullet"/>
      <w:lvlText w:val=""/>
      <w:lvlJc w:val="left"/>
      <w:pPr>
        <w:ind w:left="2160" w:hanging="360"/>
      </w:pPr>
      <w:rPr>
        <w:rFonts w:ascii="Wingdings" w:hAnsi="Wingdings"/>
        <w:b w:val="0"/>
        <w:i w:val="0"/>
        <w:strike w:val="0"/>
        <w:sz w:val="20"/>
        <w:u w:val="none"/>
      </w:rPr>
    </w:lvl>
    <w:lvl w:ilvl="3" w:tplc="FFFFFFFF">
      <w:start w:val="1"/>
      <w:numFmt w:val="bullet"/>
      <w:lvlText w:val=""/>
      <w:lvlJc w:val="left"/>
      <w:pPr>
        <w:ind w:left="2880" w:hanging="360"/>
      </w:pPr>
      <w:rPr>
        <w:rFonts w:ascii="Wingdings" w:hAnsi="Wingdings"/>
        <w:b w:val="0"/>
        <w:i w:val="0"/>
        <w:strike w:val="0"/>
        <w:sz w:val="20"/>
        <w:u w:val="none"/>
      </w:rPr>
    </w:lvl>
    <w:lvl w:ilvl="4" w:tplc="FFFFFFFF">
      <w:start w:val="1"/>
      <w:numFmt w:val="bullet"/>
      <w:lvlText w:val=""/>
      <w:lvlJc w:val="left"/>
      <w:pPr>
        <w:ind w:left="3600" w:hanging="360"/>
      </w:pPr>
      <w:rPr>
        <w:rFonts w:ascii="Wingdings" w:hAnsi="Wingdings"/>
        <w:b w:val="0"/>
        <w:i w:val="0"/>
        <w:strike w:val="0"/>
        <w:sz w:val="20"/>
        <w:u w:val="none"/>
      </w:rPr>
    </w:lvl>
    <w:lvl w:ilvl="5" w:tplc="FFFFFFFF">
      <w:start w:val="1"/>
      <w:numFmt w:val="bullet"/>
      <w:lvlText w:val=""/>
      <w:lvlJc w:val="left"/>
      <w:pPr>
        <w:ind w:left="4320" w:hanging="360"/>
      </w:pPr>
      <w:rPr>
        <w:rFonts w:ascii="Wingdings" w:hAnsi="Wingdings"/>
        <w:b w:val="0"/>
        <w:i w:val="0"/>
        <w:strike w:val="0"/>
        <w:sz w:val="20"/>
        <w:u w:val="none"/>
      </w:rPr>
    </w:lvl>
    <w:lvl w:ilvl="6" w:tplc="FFFFFFFF">
      <w:start w:val="1"/>
      <w:numFmt w:val="bullet"/>
      <w:lvlText w:val=""/>
      <w:lvlJc w:val="left"/>
      <w:pPr>
        <w:ind w:left="5040" w:hanging="360"/>
      </w:pPr>
      <w:rPr>
        <w:rFonts w:ascii="Wingdings" w:hAnsi="Wingdings"/>
        <w:b w:val="0"/>
        <w:i w:val="0"/>
        <w:strike w:val="0"/>
        <w:sz w:val="20"/>
        <w:u w:val="none"/>
      </w:rPr>
    </w:lvl>
    <w:lvl w:ilvl="7" w:tplc="FFFFFFFF">
      <w:start w:val="1"/>
      <w:numFmt w:val="bullet"/>
      <w:lvlText w:val=""/>
      <w:lvlJc w:val="left"/>
      <w:pPr>
        <w:ind w:left="5760" w:hanging="360"/>
      </w:pPr>
      <w:rPr>
        <w:rFonts w:ascii="Wingdings" w:hAnsi="Wingdings"/>
        <w:b w:val="0"/>
        <w:i w:val="0"/>
        <w:strike w:val="0"/>
        <w:sz w:val="20"/>
        <w:u w:val="none"/>
      </w:rPr>
    </w:lvl>
    <w:lvl w:ilvl="8" w:tplc="FFFFFFFF">
      <w:start w:val="1"/>
      <w:numFmt w:val="bullet"/>
      <w:lvlText w:val=""/>
      <w:lvlJc w:val="left"/>
      <w:pPr>
        <w:ind w:left="6480" w:hanging="360"/>
      </w:pPr>
      <w:rPr>
        <w:rFonts w:ascii="Wingdings" w:hAnsi="Wingdings"/>
        <w:b w:val="0"/>
        <w:i w:val="0"/>
        <w:strike w:val="0"/>
        <w:sz w:val="20"/>
        <w:u w:val="none"/>
      </w:rPr>
    </w:lvl>
  </w:abstractNum>
  <w:abstractNum w:abstractNumId="1" w15:restartNumberingAfterBreak="0">
    <w:nsid w:val="00000003"/>
    <w:multiLevelType w:val="hybridMultilevel"/>
    <w:tmpl w:val="FFFFFFFF"/>
    <w:lvl w:ilvl="0" w:tplc="FFFFFFFF">
      <w:start w:val="1"/>
      <w:numFmt w:val="bullet"/>
      <w:lvlText w:val=""/>
      <w:lvlJc w:val="left"/>
      <w:pPr>
        <w:ind w:left="720" w:hanging="360"/>
      </w:pPr>
      <w:rPr>
        <w:rFonts w:ascii="Symbol" w:hAnsi="Symbol"/>
        <w:b w:val="0"/>
        <w:i w:val="0"/>
        <w:strike w:val="0"/>
        <w:sz w:val="20"/>
        <w:u w:val="none"/>
      </w:rPr>
    </w:lvl>
    <w:lvl w:ilvl="1" w:tplc="FFFFFFFF">
      <w:start w:val="1"/>
      <w:numFmt w:val="bullet"/>
      <w:lvlText w:val="o"/>
      <w:lvlJc w:val="left"/>
      <w:pPr>
        <w:ind w:left="1440" w:hanging="360"/>
      </w:pPr>
      <w:rPr>
        <w:rFonts w:ascii="Courier New" w:hAnsi="Courier New"/>
        <w:b w:val="0"/>
        <w:i w:val="0"/>
        <w:strike w:val="0"/>
        <w:sz w:val="20"/>
        <w:u w:val="none"/>
      </w:rPr>
    </w:lvl>
    <w:lvl w:ilvl="2" w:tplc="FFFFFFFF">
      <w:start w:val="1"/>
      <w:numFmt w:val="bullet"/>
      <w:lvlText w:val=""/>
      <w:lvlJc w:val="left"/>
      <w:pPr>
        <w:ind w:left="2160" w:hanging="360"/>
      </w:pPr>
      <w:rPr>
        <w:rFonts w:ascii="Wingdings" w:hAnsi="Wingdings"/>
        <w:b w:val="0"/>
        <w:i w:val="0"/>
        <w:strike w:val="0"/>
        <w:sz w:val="20"/>
        <w:u w:val="none"/>
      </w:rPr>
    </w:lvl>
    <w:lvl w:ilvl="3" w:tplc="FFFFFFFF">
      <w:start w:val="1"/>
      <w:numFmt w:val="bullet"/>
      <w:lvlText w:val=""/>
      <w:lvlJc w:val="left"/>
      <w:pPr>
        <w:ind w:left="2880" w:hanging="360"/>
      </w:pPr>
      <w:rPr>
        <w:rFonts w:ascii="Wingdings" w:hAnsi="Wingdings"/>
        <w:b w:val="0"/>
        <w:i w:val="0"/>
        <w:strike w:val="0"/>
        <w:sz w:val="20"/>
        <w:u w:val="none"/>
      </w:rPr>
    </w:lvl>
    <w:lvl w:ilvl="4" w:tplc="FFFFFFFF">
      <w:start w:val="1"/>
      <w:numFmt w:val="bullet"/>
      <w:lvlText w:val=""/>
      <w:lvlJc w:val="left"/>
      <w:pPr>
        <w:ind w:left="3600" w:hanging="360"/>
      </w:pPr>
      <w:rPr>
        <w:rFonts w:ascii="Wingdings" w:hAnsi="Wingdings"/>
        <w:b w:val="0"/>
        <w:i w:val="0"/>
        <w:strike w:val="0"/>
        <w:sz w:val="20"/>
        <w:u w:val="none"/>
      </w:rPr>
    </w:lvl>
    <w:lvl w:ilvl="5" w:tplc="FFFFFFFF">
      <w:start w:val="1"/>
      <w:numFmt w:val="bullet"/>
      <w:lvlText w:val=""/>
      <w:lvlJc w:val="left"/>
      <w:pPr>
        <w:ind w:left="4320" w:hanging="360"/>
      </w:pPr>
      <w:rPr>
        <w:rFonts w:ascii="Wingdings" w:hAnsi="Wingdings"/>
        <w:b w:val="0"/>
        <w:i w:val="0"/>
        <w:strike w:val="0"/>
        <w:sz w:val="20"/>
        <w:u w:val="none"/>
      </w:rPr>
    </w:lvl>
    <w:lvl w:ilvl="6" w:tplc="FFFFFFFF">
      <w:start w:val="1"/>
      <w:numFmt w:val="bullet"/>
      <w:lvlText w:val=""/>
      <w:lvlJc w:val="left"/>
      <w:pPr>
        <w:ind w:left="5040" w:hanging="360"/>
      </w:pPr>
      <w:rPr>
        <w:rFonts w:ascii="Wingdings" w:hAnsi="Wingdings"/>
        <w:b w:val="0"/>
        <w:i w:val="0"/>
        <w:strike w:val="0"/>
        <w:sz w:val="20"/>
        <w:u w:val="none"/>
      </w:rPr>
    </w:lvl>
    <w:lvl w:ilvl="7" w:tplc="FFFFFFFF">
      <w:start w:val="1"/>
      <w:numFmt w:val="bullet"/>
      <w:lvlText w:val=""/>
      <w:lvlJc w:val="left"/>
      <w:pPr>
        <w:ind w:left="5760" w:hanging="360"/>
      </w:pPr>
      <w:rPr>
        <w:rFonts w:ascii="Wingdings" w:hAnsi="Wingdings"/>
        <w:b w:val="0"/>
        <w:i w:val="0"/>
        <w:strike w:val="0"/>
        <w:sz w:val="20"/>
        <w:u w:val="none"/>
      </w:rPr>
    </w:lvl>
    <w:lvl w:ilvl="8" w:tplc="FFFFFFFF">
      <w:start w:val="1"/>
      <w:numFmt w:val="bullet"/>
      <w:lvlText w:val=""/>
      <w:lvlJc w:val="left"/>
      <w:pPr>
        <w:ind w:left="6480" w:hanging="360"/>
      </w:pPr>
      <w:rPr>
        <w:rFonts w:ascii="Wingdings" w:hAnsi="Wingdings"/>
        <w:b w:val="0"/>
        <w:i w:val="0"/>
        <w:strike w:val="0"/>
        <w:sz w:val="20"/>
        <w:u w:val="none"/>
      </w:rPr>
    </w:lvl>
  </w:abstractNum>
  <w:abstractNum w:abstractNumId="2" w15:restartNumberingAfterBreak="0">
    <w:nsid w:val="0B5B4361"/>
    <w:multiLevelType w:val="hybridMultilevel"/>
    <w:tmpl w:val="AD588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606EEA"/>
    <w:multiLevelType w:val="hybridMultilevel"/>
    <w:tmpl w:val="085E6BE0"/>
    <w:lvl w:ilvl="0" w:tplc="4F20D8B4">
      <w:start w:val="3"/>
      <w:numFmt w:val="decimal"/>
      <w:lvlText w:val="%1"/>
      <w:lvlJc w:val="left"/>
      <w:pPr>
        <w:ind w:left="1080" w:hanging="360"/>
      </w:pPr>
      <w:rPr>
        <w:rFonts w:ascii="TimesNewRomanPSMT" w:eastAsiaTheme="minorHAnsi" w:hAnsi="TimesNewRomanPSMT" w:cs="TimesNewRomanPSM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DC01F29"/>
    <w:multiLevelType w:val="multilevel"/>
    <w:tmpl w:val="4CDA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323F9"/>
    <w:multiLevelType w:val="multilevel"/>
    <w:tmpl w:val="A0D4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96F27"/>
    <w:multiLevelType w:val="multilevel"/>
    <w:tmpl w:val="1850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E2963"/>
    <w:multiLevelType w:val="multilevel"/>
    <w:tmpl w:val="FFA8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35E12"/>
    <w:multiLevelType w:val="multilevel"/>
    <w:tmpl w:val="4494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C90757"/>
    <w:multiLevelType w:val="multilevel"/>
    <w:tmpl w:val="775A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725044">
    <w:abstractNumId w:val="7"/>
  </w:num>
  <w:num w:numId="2" w16cid:durableId="1021322946">
    <w:abstractNumId w:val="9"/>
  </w:num>
  <w:num w:numId="3" w16cid:durableId="235936566">
    <w:abstractNumId w:val="6"/>
  </w:num>
  <w:num w:numId="4" w16cid:durableId="1896163132">
    <w:abstractNumId w:val="2"/>
  </w:num>
  <w:num w:numId="5" w16cid:durableId="607542468">
    <w:abstractNumId w:val="3"/>
  </w:num>
  <w:num w:numId="6" w16cid:durableId="1217471787">
    <w:abstractNumId w:val="8"/>
  </w:num>
  <w:num w:numId="7" w16cid:durableId="1057975657">
    <w:abstractNumId w:val="4"/>
  </w:num>
  <w:num w:numId="8" w16cid:durableId="2041276923">
    <w:abstractNumId w:val="5"/>
  </w:num>
  <w:num w:numId="9" w16cid:durableId="1101606327">
    <w:abstractNumId w:val="0"/>
  </w:num>
  <w:num w:numId="10" w16cid:durableId="205364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40"/>
    <w:rsid w:val="00056CF4"/>
    <w:rsid w:val="00342361"/>
    <w:rsid w:val="00374040"/>
    <w:rsid w:val="003F3AFA"/>
    <w:rsid w:val="00446D93"/>
    <w:rsid w:val="005D1E5D"/>
    <w:rsid w:val="00742A4D"/>
    <w:rsid w:val="00952E1B"/>
    <w:rsid w:val="00984C8D"/>
    <w:rsid w:val="00C1295C"/>
    <w:rsid w:val="00DC4093"/>
    <w:rsid w:val="00E46D00"/>
    <w:rsid w:val="00F03A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8B0E"/>
  <w15:chartTrackingRefBased/>
  <w15:docId w15:val="{69DC1BF0-CE1C-4824-9512-2218518C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74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74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7404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7404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7404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7404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7404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7404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7404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404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7404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7404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7404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7404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740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740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740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74040"/>
    <w:rPr>
      <w:rFonts w:eastAsiaTheme="majorEastAsia" w:cstheme="majorBidi"/>
      <w:color w:val="272727" w:themeColor="text1" w:themeTint="D8"/>
    </w:rPr>
  </w:style>
  <w:style w:type="paragraph" w:styleId="KonuBal">
    <w:name w:val="Title"/>
    <w:basedOn w:val="Normal"/>
    <w:next w:val="Normal"/>
    <w:link w:val="KonuBalChar"/>
    <w:uiPriority w:val="10"/>
    <w:qFormat/>
    <w:rsid w:val="00374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740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7404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740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7404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74040"/>
    <w:rPr>
      <w:i/>
      <w:iCs/>
      <w:color w:val="404040" w:themeColor="text1" w:themeTint="BF"/>
    </w:rPr>
  </w:style>
  <w:style w:type="paragraph" w:styleId="ListeParagraf">
    <w:name w:val="List Paragraph"/>
    <w:basedOn w:val="Normal"/>
    <w:uiPriority w:val="34"/>
    <w:qFormat/>
    <w:rsid w:val="00374040"/>
    <w:pPr>
      <w:ind w:left="720"/>
      <w:contextualSpacing/>
    </w:pPr>
  </w:style>
  <w:style w:type="character" w:styleId="GlVurgulama">
    <w:name w:val="Intense Emphasis"/>
    <w:basedOn w:val="VarsaylanParagrafYazTipi"/>
    <w:uiPriority w:val="21"/>
    <w:qFormat/>
    <w:rsid w:val="00374040"/>
    <w:rPr>
      <w:i/>
      <w:iCs/>
      <w:color w:val="0F4761" w:themeColor="accent1" w:themeShade="BF"/>
    </w:rPr>
  </w:style>
  <w:style w:type="paragraph" w:styleId="GlAlnt">
    <w:name w:val="Intense Quote"/>
    <w:basedOn w:val="Normal"/>
    <w:next w:val="Normal"/>
    <w:link w:val="GlAlntChar"/>
    <w:uiPriority w:val="30"/>
    <w:qFormat/>
    <w:rsid w:val="00374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74040"/>
    <w:rPr>
      <w:i/>
      <w:iCs/>
      <w:color w:val="0F4761" w:themeColor="accent1" w:themeShade="BF"/>
    </w:rPr>
  </w:style>
  <w:style w:type="character" w:styleId="GlBavuru">
    <w:name w:val="Intense Reference"/>
    <w:basedOn w:val="VarsaylanParagrafYazTipi"/>
    <w:uiPriority w:val="32"/>
    <w:qFormat/>
    <w:rsid w:val="00374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5082">
      <w:bodyDiv w:val="1"/>
      <w:marLeft w:val="0"/>
      <w:marRight w:val="0"/>
      <w:marTop w:val="0"/>
      <w:marBottom w:val="0"/>
      <w:divBdr>
        <w:top w:val="none" w:sz="0" w:space="0" w:color="auto"/>
        <w:left w:val="none" w:sz="0" w:space="0" w:color="auto"/>
        <w:bottom w:val="none" w:sz="0" w:space="0" w:color="auto"/>
        <w:right w:val="none" w:sz="0" w:space="0" w:color="auto"/>
      </w:divBdr>
    </w:div>
    <w:div w:id="5466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Kesik</dc:creator>
  <cp:keywords/>
  <dc:description/>
  <cp:lastModifiedBy>OSBUK</cp:lastModifiedBy>
  <cp:revision>2</cp:revision>
  <dcterms:created xsi:type="dcterms:W3CDTF">2026-06-04T05:59:00Z</dcterms:created>
  <dcterms:modified xsi:type="dcterms:W3CDTF">2026-06-04T05:59:00Z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user=27127797316</vt:lpwstr>
  </property>
  <property fmtid="{D5CDD505-2E9C-101B-9397-08002B2CF9AE}" pid="4" name="geodilabeltime">
    <vt:lpwstr>datetime=2026-06-01T12:30:35.944Z</vt:lpwstr>
  </property>
</Properties>
</file>